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FAE" w:rsidRPr="00875CA8" w:rsidRDefault="00875CA8">
      <w:pPr>
        <w:rPr>
          <w:rFonts w:ascii="Arial" w:hAnsi="Arial" w:cs="Arial"/>
          <w:b/>
        </w:rPr>
      </w:pPr>
      <w:r w:rsidRPr="00875CA8">
        <w:rPr>
          <w:rFonts w:ascii="Arial" w:hAnsi="Arial" w:cs="Arial"/>
          <w:b/>
        </w:rPr>
        <w:t>Was there an English Reformation?</w:t>
      </w:r>
    </w:p>
    <w:tbl>
      <w:tblPr>
        <w:tblW w:w="10647" w:type="dxa"/>
        <w:tblInd w:w="93" w:type="dxa"/>
        <w:tblLook w:val="04A0" w:firstRow="1" w:lastRow="0" w:firstColumn="1" w:lastColumn="0" w:noHBand="0" w:noVBand="1"/>
      </w:tblPr>
      <w:tblGrid>
        <w:gridCol w:w="6082"/>
        <w:gridCol w:w="1304"/>
        <w:gridCol w:w="1822"/>
        <w:gridCol w:w="1439"/>
      </w:tblGrid>
      <w:tr w:rsidR="00875CA8" w:rsidRPr="00875CA8" w:rsidTr="00875CA8">
        <w:trPr>
          <w:trHeight w:val="945"/>
        </w:trPr>
        <w:tc>
          <w:tcPr>
            <w:tcW w:w="6082" w:type="dxa"/>
            <w:tcBorders>
              <w:top w:val="single" w:sz="4" w:space="0" w:color="auto"/>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b/>
                <w:bCs/>
                <w:color w:val="000000"/>
                <w:lang w:eastAsia="en-GB"/>
              </w:rPr>
            </w:pPr>
            <w:r w:rsidRPr="00875CA8">
              <w:rPr>
                <w:rFonts w:ascii="Arial" w:eastAsia="Times New Roman" w:hAnsi="Arial" w:cs="Arial"/>
                <w:b/>
                <w:bCs/>
                <w:color w:val="000000"/>
                <w:lang w:eastAsia="en-GB"/>
              </w:rPr>
              <w:t>Religious developments 1533-1547</w:t>
            </w:r>
          </w:p>
        </w:tc>
        <w:tc>
          <w:tcPr>
            <w:tcW w:w="1304" w:type="dxa"/>
            <w:tcBorders>
              <w:top w:val="single" w:sz="4" w:space="0" w:color="auto"/>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b/>
                <w:bCs/>
                <w:color w:val="000000"/>
                <w:lang w:eastAsia="en-GB"/>
              </w:rPr>
            </w:pPr>
            <w:r w:rsidRPr="00875CA8">
              <w:rPr>
                <w:rFonts w:ascii="Arial" w:eastAsia="Times New Roman" w:hAnsi="Arial" w:cs="Arial"/>
                <w:b/>
                <w:bCs/>
                <w:color w:val="000000"/>
                <w:lang w:eastAsia="en-GB"/>
              </w:rPr>
              <w:t>Protestant or Catholic?</w:t>
            </w:r>
          </w:p>
        </w:tc>
        <w:tc>
          <w:tcPr>
            <w:tcW w:w="1822" w:type="dxa"/>
            <w:tcBorders>
              <w:top w:val="single" w:sz="4" w:space="0" w:color="auto"/>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b/>
                <w:bCs/>
                <w:color w:val="000000"/>
                <w:lang w:eastAsia="en-GB"/>
              </w:rPr>
            </w:pPr>
            <w:r w:rsidRPr="00875CA8">
              <w:rPr>
                <w:rFonts w:ascii="Arial" w:eastAsia="Times New Roman" w:hAnsi="Arial" w:cs="Arial"/>
                <w:b/>
                <w:bCs/>
                <w:color w:val="000000"/>
                <w:lang w:eastAsia="en-GB"/>
              </w:rPr>
              <w:t>Doctrinal, Ecclesiological or Liturgical</w:t>
            </w:r>
          </w:p>
        </w:tc>
        <w:tc>
          <w:tcPr>
            <w:tcW w:w="1439" w:type="dxa"/>
            <w:tcBorders>
              <w:top w:val="single" w:sz="4" w:space="0" w:color="auto"/>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b/>
                <w:bCs/>
                <w:color w:val="000000"/>
                <w:lang w:eastAsia="en-GB"/>
              </w:rPr>
            </w:pPr>
            <w:r w:rsidRPr="00875CA8">
              <w:rPr>
                <w:rFonts w:ascii="Arial" w:eastAsia="Times New Roman" w:hAnsi="Arial" w:cs="Arial"/>
                <w:b/>
                <w:bCs/>
                <w:color w:val="000000"/>
                <w:lang w:eastAsia="en-GB"/>
              </w:rPr>
              <w:t>Packaging or substa</w:t>
            </w:r>
            <w:r>
              <w:rPr>
                <w:rFonts w:ascii="Arial" w:eastAsia="Times New Roman" w:hAnsi="Arial" w:cs="Arial"/>
                <w:b/>
                <w:bCs/>
                <w:color w:val="000000"/>
                <w:lang w:eastAsia="en-GB"/>
              </w:rPr>
              <w:t>n</w:t>
            </w:r>
            <w:r w:rsidRPr="00875CA8">
              <w:rPr>
                <w:rFonts w:ascii="Arial" w:eastAsia="Times New Roman" w:hAnsi="Arial" w:cs="Arial"/>
                <w:b/>
                <w:bCs/>
                <w:color w:val="000000"/>
                <w:lang w:eastAsia="en-GB"/>
              </w:rPr>
              <w:t>ce?</w:t>
            </w:r>
          </w:p>
        </w:tc>
      </w:tr>
      <w:tr w:rsidR="00875CA8" w:rsidRPr="00875CA8" w:rsidTr="00875CA8">
        <w:trPr>
          <w:trHeight w:val="1237"/>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 The Act of Six Articles of 1539, made denying the orthodoxy of Transubstantiation, Communion in one kind, and Masses for the dead punishable by burning.  Nicknamed the 'whip of six cords' by protestants.</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688"/>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T</w:t>
            </w:r>
            <w:r w:rsidRPr="00875CA8">
              <w:rPr>
                <w:rFonts w:ascii="Arial" w:eastAsia="Times New Roman" w:hAnsi="Arial" w:cs="Arial"/>
                <w:color w:val="000000"/>
                <w:lang w:eastAsia="en-GB"/>
              </w:rPr>
              <w:t>he doctrine of purgatory was never officially denied even if the excesses of medieval purgatory</w:t>
            </w:r>
            <w:r>
              <w:rPr>
                <w:rFonts w:ascii="Arial" w:eastAsia="Times New Roman" w:hAnsi="Arial" w:cs="Arial"/>
                <w:color w:val="000000"/>
                <w:lang w:eastAsia="en-GB"/>
              </w:rPr>
              <w:t xml:space="preserve"> and indulgence</w:t>
            </w:r>
            <w:r w:rsidRPr="00875CA8">
              <w:rPr>
                <w:rFonts w:ascii="Arial" w:eastAsia="Times New Roman" w:hAnsi="Arial" w:cs="Arial"/>
                <w:color w:val="000000"/>
                <w:lang w:eastAsia="en-GB"/>
              </w:rPr>
              <w:t xml:space="preserve"> were clearly </w:t>
            </w:r>
            <w:r>
              <w:rPr>
                <w:rFonts w:ascii="Arial" w:eastAsia="Times New Roman" w:hAnsi="Arial" w:cs="Arial"/>
                <w:color w:val="000000"/>
                <w:lang w:eastAsia="en-GB"/>
              </w:rPr>
              <w:t>rejected.</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0709A0" w:rsidRPr="00875CA8" w:rsidTr="000709A0">
        <w:trPr>
          <w:trHeight w:val="641"/>
        </w:trPr>
        <w:tc>
          <w:tcPr>
            <w:tcW w:w="6082" w:type="dxa"/>
            <w:tcBorders>
              <w:top w:val="nil"/>
              <w:left w:val="single" w:sz="4" w:space="0" w:color="auto"/>
              <w:bottom w:val="single" w:sz="4" w:space="0" w:color="auto"/>
              <w:right w:val="single" w:sz="4" w:space="0" w:color="auto"/>
            </w:tcBorders>
            <w:shd w:val="clear" w:color="auto" w:fill="auto"/>
          </w:tcPr>
          <w:p w:rsidR="000709A0" w:rsidRPr="00875CA8" w:rsidRDefault="000709A0" w:rsidP="000709A0">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Proclamations against heretical books were published in 1538 and 1546</w:t>
            </w:r>
          </w:p>
        </w:tc>
        <w:tc>
          <w:tcPr>
            <w:tcW w:w="1304" w:type="dxa"/>
            <w:tcBorders>
              <w:top w:val="nil"/>
              <w:left w:val="nil"/>
              <w:bottom w:val="single" w:sz="4" w:space="0" w:color="auto"/>
              <w:right w:val="single" w:sz="4" w:space="0" w:color="auto"/>
            </w:tcBorders>
            <w:shd w:val="clear" w:color="auto" w:fill="auto"/>
          </w:tcPr>
          <w:p w:rsidR="000709A0" w:rsidRPr="00875CA8" w:rsidRDefault="000709A0" w:rsidP="00875CA8">
            <w:pPr>
              <w:spacing w:after="0" w:line="240" w:lineRule="auto"/>
              <w:rPr>
                <w:rFonts w:ascii="Arial" w:eastAsia="Times New Roman" w:hAnsi="Arial" w:cs="Arial"/>
                <w:color w:val="000000"/>
                <w:lang w:eastAsia="en-GB"/>
              </w:rPr>
            </w:pPr>
          </w:p>
        </w:tc>
        <w:tc>
          <w:tcPr>
            <w:tcW w:w="1822" w:type="dxa"/>
            <w:tcBorders>
              <w:top w:val="nil"/>
              <w:left w:val="nil"/>
              <w:bottom w:val="single" w:sz="4" w:space="0" w:color="auto"/>
              <w:right w:val="single" w:sz="4" w:space="0" w:color="auto"/>
            </w:tcBorders>
            <w:shd w:val="clear" w:color="auto" w:fill="auto"/>
          </w:tcPr>
          <w:p w:rsidR="000709A0" w:rsidRPr="00875CA8" w:rsidRDefault="000709A0" w:rsidP="00875CA8">
            <w:pPr>
              <w:spacing w:after="0" w:line="240" w:lineRule="auto"/>
              <w:rPr>
                <w:rFonts w:ascii="Arial" w:eastAsia="Times New Roman" w:hAnsi="Arial" w:cs="Arial"/>
                <w:color w:val="000000"/>
                <w:lang w:eastAsia="en-GB"/>
              </w:rPr>
            </w:pPr>
          </w:p>
        </w:tc>
        <w:tc>
          <w:tcPr>
            <w:tcW w:w="1439" w:type="dxa"/>
            <w:tcBorders>
              <w:top w:val="nil"/>
              <w:left w:val="nil"/>
              <w:bottom w:val="single" w:sz="4" w:space="0" w:color="auto"/>
              <w:right w:val="single" w:sz="4" w:space="0" w:color="auto"/>
            </w:tcBorders>
            <w:shd w:val="clear" w:color="auto" w:fill="auto"/>
          </w:tcPr>
          <w:p w:rsidR="000709A0" w:rsidRPr="00875CA8" w:rsidRDefault="000709A0" w:rsidP="00875CA8">
            <w:pPr>
              <w:spacing w:after="0" w:line="240" w:lineRule="auto"/>
              <w:rPr>
                <w:rFonts w:ascii="Arial" w:eastAsia="Times New Roman" w:hAnsi="Arial" w:cs="Arial"/>
                <w:color w:val="000000"/>
                <w:lang w:eastAsia="en-GB"/>
              </w:rPr>
            </w:pPr>
          </w:p>
        </w:tc>
      </w:tr>
      <w:tr w:rsidR="00875CA8" w:rsidRPr="00875CA8" w:rsidTr="00875CA8">
        <w:trPr>
          <w:trHeight w:val="1214"/>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 Henry separated the church in England from Rome through a series of legislative measures, including Acts in Restraint of Appeals (1533), of Supremacy (1534) and in Extinguishing the Power of the Bishop of Rome (1536).</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879"/>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The Act of Ten Articles (July 1536) only discusses 3 sacraments and offered some emphasis upon justification by faith.</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0709A0">
        <w:trPr>
          <w:trHeight w:val="568"/>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0709A0">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1536 and 1538 Injunctions</w:t>
            </w:r>
            <w:r w:rsidR="000709A0">
              <w:rPr>
                <w:rFonts w:ascii="Arial" w:eastAsia="Times New Roman" w:hAnsi="Arial" w:cs="Arial"/>
                <w:color w:val="000000"/>
                <w:lang w:eastAsia="en-GB"/>
              </w:rPr>
              <w:t xml:space="preserve"> </w:t>
            </w:r>
            <w:r w:rsidR="000709A0" w:rsidRPr="00875CA8">
              <w:rPr>
                <w:rFonts w:ascii="Arial" w:eastAsia="Times New Roman" w:hAnsi="Arial" w:cs="Arial"/>
                <w:color w:val="000000"/>
                <w:lang w:eastAsia="en-GB"/>
              </w:rPr>
              <w:t>attac</w:t>
            </w:r>
            <w:r w:rsidR="000709A0">
              <w:rPr>
                <w:rFonts w:ascii="Arial" w:eastAsia="Times New Roman" w:hAnsi="Arial" w:cs="Arial"/>
                <w:color w:val="000000"/>
                <w:lang w:eastAsia="en-GB"/>
              </w:rPr>
              <w:t>k on relics, and pilgrimages.</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1422"/>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 In 1546/7 </w:t>
            </w:r>
            <w:proofErr w:type="spellStart"/>
            <w:r w:rsidRPr="00875CA8">
              <w:rPr>
                <w:rFonts w:ascii="Arial" w:eastAsia="Times New Roman" w:hAnsi="Arial" w:cs="Arial"/>
                <w:color w:val="000000"/>
                <w:lang w:eastAsia="en-GB"/>
              </w:rPr>
              <w:t>Chantries</w:t>
            </w:r>
            <w:proofErr w:type="spellEnd"/>
            <w:r w:rsidRPr="00875CA8">
              <w:rPr>
                <w:rFonts w:ascii="Arial" w:eastAsia="Times New Roman" w:hAnsi="Arial" w:cs="Arial"/>
                <w:color w:val="000000"/>
                <w:lang w:eastAsia="en-GB"/>
              </w:rPr>
              <w:t xml:space="preserve"> Act abolished </w:t>
            </w:r>
            <w:proofErr w:type="spellStart"/>
            <w:r w:rsidRPr="00875CA8">
              <w:rPr>
                <w:rFonts w:ascii="Arial" w:eastAsia="Times New Roman" w:hAnsi="Arial" w:cs="Arial"/>
                <w:color w:val="000000"/>
                <w:lang w:eastAsia="en-GB"/>
              </w:rPr>
              <w:t>Chantry</w:t>
            </w:r>
            <w:proofErr w:type="spellEnd"/>
            <w:r w:rsidRPr="00875CA8">
              <w:rPr>
                <w:rFonts w:ascii="Arial" w:eastAsia="Times New Roman" w:hAnsi="Arial" w:cs="Arial"/>
                <w:color w:val="000000"/>
                <w:lang w:eastAsia="en-GB"/>
              </w:rPr>
              <w:t xml:space="preserve"> churches (these were founded specifically for the purpose of employing one or more Catholic priests to sing a stipulated number of masses during a stipulated time for the spiritual benefit of the dead</w:t>
            </w:r>
            <w:r>
              <w:rPr>
                <w:rFonts w:ascii="Arial" w:eastAsia="Times New Roman" w:hAnsi="Arial" w:cs="Arial"/>
                <w:color w:val="000000"/>
                <w:lang w:eastAsia="en-GB"/>
              </w:rPr>
              <w:t>)</w:t>
            </w:r>
            <w:r w:rsidRPr="00875CA8">
              <w:rPr>
                <w:rFonts w:ascii="Arial" w:eastAsia="Times New Roman" w:hAnsi="Arial" w:cs="Arial"/>
                <w:color w:val="000000"/>
                <w:lang w:eastAsia="en-GB"/>
              </w:rPr>
              <w:t>.</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839"/>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The </w:t>
            </w:r>
            <w:r>
              <w:rPr>
                <w:rFonts w:ascii="Arial" w:eastAsia="Times New Roman" w:hAnsi="Arial" w:cs="Arial"/>
                <w:color w:val="000000"/>
                <w:lang w:eastAsia="en-GB"/>
              </w:rPr>
              <w:t xml:space="preserve">1536 </w:t>
            </w:r>
            <w:r w:rsidRPr="00875CA8">
              <w:rPr>
                <w:rFonts w:ascii="Arial" w:eastAsia="Times New Roman" w:hAnsi="Arial" w:cs="Arial"/>
                <w:color w:val="000000"/>
                <w:lang w:eastAsia="en-GB"/>
              </w:rPr>
              <w:t>Act of Ten Articles was not passed through parliament and Henry refused to e</w:t>
            </w:r>
            <w:r w:rsidR="00340A61">
              <w:rPr>
                <w:rFonts w:ascii="Arial" w:eastAsia="Times New Roman" w:hAnsi="Arial" w:cs="Arial"/>
                <w:color w:val="000000"/>
                <w:lang w:eastAsia="en-GB"/>
              </w:rPr>
              <w:t>ndorse the Bishops’ Book of 1537</w:t>
            </w:r>
            <w:r w:rsidRPr="00875CA8">
              <w:rPr>
                <w:rFonts w:ascii="Arial" w:eastAsia="Times New Roman" w:hAnsi="Arial" w:cs="Arial"/>
                <w:color w:val="000000"/>
                <w:lang w:eastAsia="en-GB"/>
              </w:rPr>
              <w:t>.</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960"/>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 Transubstantiation was upheld in all but name in the Act of Ten Articles of 1536 and then explicitly in the Act of Six Articles of 1539.  </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1142"/>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The Act of Six Articles of 1539 defended traditional practices such as auricular confession, communion in one kind, clerical celibacy and vows of chastity, all of which ran counter to Lutheran practice.</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1400"/>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340A61">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After </w:t>
            </w:r>
            <w:r w:rsidR="00340A61">
              <w:rPr>
                <w:rFonts w:ascii="Arial" w:eastAsia="Times New Roman" w:hAnsi="Arial" w:cs="Arial"/>
                <w:color w:val="000000"/>
                <w:lang w:eastAsia="en-GB"/>
              </w:rPr>
              <w:t xml:space="preserve">the Act of Six Articles (1539) </w:t>
            </w:r>
            <w:r w:rsidRPr="00875CA8">
              <w:rPr>
                <w:rFonts w:ascii="Arial" w:eastAsia="Times New Roman" w:hAnsi="Arial" w:cs="Arial"/>
                <w:color w:val="000000"/>
                <w:lang w:eastAsia="en-GB"/>
              </w:rPr>
              <w:t>was passed through parliament – there was no further doctrinal change.  This was the end of the Reformation so far as Henry was concerned.  It was a conservative statement that reaffirmed the 7 sacraments.</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839"/>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 In 1539 also Henry executed John Lambert </w:t>
            </w:r>
            <w:r>
              <w:rPr>
                <w:rFonts w:ascii="Arial" w:eastAsia="Times New Roman" w:hAnsi="Arial" w:cs="Arial"/>
                <w:color w:val="000000"/>
                <w:lang w:eastAsia="en-GB"/>
              </w:rPr>
              <w:t>a former member</w:t>
            </w:r>
            <w:r w:rsidRPr="00875CA8">
              <w:rPr>
                <w:rFonts w:ascii="Arial" w:eastAsia="Times New Roman" w:hAnsi="Arial" w:cs="Arial"/>
                <w:color w:val="000000"/>
                <w:lang w:eastAsia="en-GB"/>
              </w:rPr>
              <w:t xml:space="preserve"> of the White Horse Tavern discussion group, for denying the real presence or upholding justification by faith.</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1415"/>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  In 1543, Henry published ‘The Necessary Doctrine and Erudition of Christian Man’; known as the </w:t>
            </w:r>
            <w:r w:rsidRPr="00875CA8">
              <w:rPr>
                <w:rFonts w:ascii="Arial" w:eastAsia="Times New Roman" w:hAnsi="Arial" w:cs="Arial"/>
                <w:color w:val="000000"/>
                <w:u w:val="single"/>
                <w:lang w:eastAsia="en-GB"/>
              </w:rPr>
              <w:t>King’s Book</w:t>
            </w:r>
            <w:r w:rsidRPr="00875CA8">
              <w:rPr>
                <w:rFonts w:ascii="Arial" w:eastAsia="Times New Roman" w:hAnsi="Arial" w:cs="Arial"/>
                <w:color w:val="000000"/>
                <w:lang w:eastAsia="en-GB"/>
              </w:rPr>
              <w:t xml:space="preserve">. This was a wholesale revision of the Bishop's Book which the King had refused to endorse 6 years earlier; a conservative text in the spirit of the Act of the Six Articles. </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995"/>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0709A0" w:rsidP="000709A0">
            <w:pPr>
              <w:spacing w:after="0" w:line="240" w:lineRule="auto"/>
              <w:rPr>
                <w:rFonts w:ascii="Arial" w:eastAsia="Times New Roman" w:hAnsi="Arial" w:cs="Arial"/>
                <w:color w:val="000000"/>
                <w:lang w:eastAsia="en-GB"/>
              </w:rPr>
            </w:pPr>
            <w:r>
              <w:rPr>
                <w:rFonts w:ascii="Arial" w:eastAsia="Times New Roman" w:hAnsi="Arial" w:cs="Arial"/>
                <w:color w:val="000000"/>
                <w:lang w:val="en-US" w:eastAsia="en-GB"/>
              </w:rPr>
              <w:lastRenderedPageBreak/>
              <w:t xml:space="preserve">1543 Act for the Advancement of True Religion –ended printing and limited access to </w:t>
            </w:r>
            <w:r>
              <w:rPr>
                <w:rFonts w:ascii="Arial" w:eastAsia="Times New Roman" w:hAnsi="Arial" w:cs="Arial"/>
                <w:color w:val="000000"/>
                <w:lang w:eastAsia="en-GB"/>
              </w:rPr>
              <w:t>more wealthy in society because t</w:t>
            </w:r>
            <w:r w:rsidRPr="000709A0">
              <w:rPr>
                <w:rFonts w:ascii="Arial" w:eastAsia="Times New Roman" w:hAnsi="Arial" w:cs="Arial"/>
                <w:color w:val="000000"/>
                <w:lang w:val="en-US" w:eastAsia="en-GB"/>
              </w:rPr>
              <w:t>here was a danger of ‘</w:t>
            </w:r>
            <w:proofErr w:type="gramStart"/>
            <w:r w:rsidRPr="000709A0">
              <w:rPr>
                <w:rFonts w:ascii="Arial" w:eastAsia="Times New Roman" w:hAnsi="Arial" w:cs="Arial"/>
                <w:color w:val="000000"/>
                <w:lang w:val="en-US" w:eastAsia="en-GB"/>
              </w:rPr>
              <w:t>divers</w:t>
            </w:r>
            <w:proofErr w:type="gramEnd"/>
            <w:r w:rsidRPr="000709A0">
              <w:rPr>
                <w:rFonts w:ascii="Arial" w:eastAsia="Times New Roman" w:hAnsi="Arial" w:cs="Arial"/>
                <w:color w:val="000000"/>
                <w:lang w:val="en-US" w:eastAsia="en-GB"/>
              </w:rPr>
              <w:t xml:space="preserve"> naughty and erroneous opinions’ among the ‘lower sort.’ </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2681"/>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9A7924">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  In 1544 Cranmer published the ‘King’s </w:t>
            </w:r>
            <w:proofErr w:type="spellStart"/>
            <w:r w:rsidRPr="00875CA8">
              <w:rPr>
                <w:rFonts w:ascii="Arial" w:eastAsia="Times New Roman" w:hAnsi="Arial" w:cs="Arial"/>
                <w:color w:val="000000"/>
                <w:lang w:eastAsia="en-GB"/>
              </w:rPr>
              <w:t>Prymer</w:t>
            </w:r>
            <w:proofErr w:type="spellEnd"/>
            <w:r w:rsidRPr="00875CA8">
              <w:rPr>
                <w:rFonts w:ascii="Arial" w:eastAsia="Times New Roman" w:hAnsi="Arial" w:cs="Arial"/>
                <w:color w:val="000000"/>
                <w:lang w:eastAsia="en-GB"/>
              </w:rPr>
              <w:t xml:space="preserve">’ 1544 ‘King’s </w:t>
            </w:r>
            <w:proofErr w:type="spellStart"/>
            <w:r w:rsidRPr="00875CA8">
              <w:rPr>
                <w:rFonts w:ascii="Arial" w:eastAsia="Times New Roman" w:hAnsi="Arial" w:cs="Arial"/>
                <w:color w:val="000000"/>
                <w:lang w:eastAsia="en-GB"/>
              </w:rPr>
              <w:t>Prymer</w:t>
            </w:r>
            <w:proofErr w:type="spellEnd"/>
            <w:r w:rsidRPr="00875CA8">
              <w:rPr>
                <w:rFonts w:ascii="Arial" w:eastAsia="Times New Roman" w:hAnsi="Arial" w:cs="Arial"/>
                <w:color w:val="000000"/>
                <w:lang w:eastAsia="en-GB"/>
              </w:rPr>
              <w:t xml:space="preserve">’, written by Archbishop Cranmer, replaces Catholic book of prayers for use in Church. </w:t>
            </w:r>
            <w:r>
              <w:rPr>
                <w:rFonts w:ascii="Arial" w:eastAsia="Times New Roman" w:hAnsi="Arial" w:cs="Arial"/>
                <w:color w:val="000000"/>
                <w:lang w:eastAsia="en-GB"/>
              </w:rPr>
              <w:t xml:space="preserve">A.G. Dickens argued that this was to satisfy the </w:t>
            </w:r>
            <w:r w:rsidR="009A7924">
              <w:rPr>
                <w:rFonts w:ascii="Arial" w:eastAsia="Times New Roman" w:hAnsi="Arial" w:cs="Arial"/>
                <w:color w:val="000000"/>
                <w:lang w:eastAsia="en-GB"/>
              </w:rPr>
              <w:t xml:space="preserve">popular desire for a prayer book which would assist the congregation in participating in the service.  It seems more likely that Henry was </w:t>
            </w:r>
            <w:r w:rsidRPr="00875CA8">
              <w:rPr>
                <w:rFonts w:ascii="Arial" w:eastAsia="Times New Roman" w:hAnsi="Arial" w:cs="Arial"/>
                <w:color w:val="000000"/>
                <w:lang w:eastAsia="en-GB"/>
              </w:rPr>
              <w:t>simply reacting to potential sources of unrest because there were unauthori</w:t>
            </w:r>
            <w:r w:rsidR="009A7924">
              <w:rPr>
                <w:rFonts w:ascii="Arial" w:eastAsia="Times New Roman" w:hAnsi="Arial" w:cs="Arial"/>
                <w:color w:val="000000"/>
                <w:lang w:eastAsia="en-GB"/>
              </w:rPr>
              <w:t>zed prayer books in circulation.</w:t>
            </w:r>
            <w:r w:rsidRPr="00875CA8">
              <w:rPr>
                <w:rFonts w:ascii="Arial" w:eastAsia="Times New Roman" w:hAnsi="Arial" w:cs="Arial"/>
                <w:color w:val="000000"/>
                <w:lang w:eastAsia="en-GB"/>
              </w:rPr>
              <w:t xml:space="preserve">  Henry ordered its use throughout all his dominions. </w:t>
            </w:r>
            <w:r w:rsidR="009A7924">
              <w:rPr>
                <w:rFonts w:ascii="Arial" w:eastAsia="Times New Roman" w:hAnsi="Arial" w:cs="Arial"/>
                <w:color w:val="000000"/>
                <w:lang w:eastAsia="en-GB"/>
              </w:rPr>
              <w:t>It</w:t>
            </w:r>
            <w:r w:rsidRPr="00875CA8">
              <w:rPr>
                <w:rFonts w:ascii="Arial" w:eastAsia="Times New Roman" w:hAnsi="Arial" w:cs="Arial"/>
                <w:color w:val="000000"/>
                <w:lang w:eastAsia="en-GB"/>
              </w:rPr>
              <w:t xml:space="preserve"> was printed in English and in Latin in parallel columns.</w:t>
            </w:r>
            <w:r w:rsidR="009A7924">
              <w:rPr>
                <w:rFonts w:ascii="Arial" w:eastAsia="Times New Roman" w:hAnsi="Arial" w:cs="Arial"/>
                <w:color w:val="000000"/>
                <w:lang w:eastAsia="en-GB"/>
              </w:rPr>
              <w:t xml:space="preserve"> Why?</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410"/>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The introduction of an English </w:t>
            </w:r>
            <w:r>
              <w:rPr>
                <w:rFonts w:ascii="Arial" w:eastAsia="Times New Roman" w:hAnsi="Arial" w:cs="Arial"/>
                <w:color w:val="000000"/>
                <w:lang w:eastAsia="en-GB"/>
              </w:rPr>
              <w:t>B</w:t>
            </w:r>
            <w:r w:rsidRPr="00875CA8">
              <w:rPr>
                <w:rFonts w:ascii="Arial" w:eastAsia="Times New Roman" w:hAnsi="Arial" w:cs="Arial"/>
                <w:color w:val="000000"/>
                <w:lang w:eastAsia="en-GB"/>
              </w:rPr>
              <w:t>ible (1538) in every Parish</w:t>
            </w:r>
            <w:r w:rsidR="00340A61">
              <w:rPr>
                <w:rFonts w:ascii="Arial" w:eastAsia="Times New Roman" w:hAnsi="Arial" w:cs="Arial"/>
                <w:color w:val="000000"/>
                <w:lang w:eastAsia="en-GB"/>
              </w:rPr>
              <w:t xml:space="preserve"> – partly paid for by Cromwell himself (put up £400 of his own money)</w:t>
            </w:r>
            <w:r w:rsidRPr="00875CA8">
              <w:rPr>
                <w:rFonts w:ascii="Arial" w:eastAsia="Times New Roman" w:hAnsi="Arial" w:cs="Arial"/>
                <w:color w:val="000000"/>
                <w:lang w:eastAsia="en-GB"/>
              </w:rPr>
              <w:t>.</w:t>
            </w:r>
          </w:p>
        </w:tc>
        <w:tc>
          <w:tcPr>
            <w:tcW w:w="1304"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315"/>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All services were in English by 1543.</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9A7924" w:rsidRPr="00875CA8" w:rsidTr="00875CA8">
        <w:trPr>
          <w:trHeight w:val="315"/>
        </w:trPr>
        <w:tc>
          <w:tcPr>
            <w:tcW w:w="6082" w:type="dxa"/>
            <w:tcBorders>
              <w:top w:val="nil"/>
              <w:left w:val="single" w:sz="4" w:space="0" w:color="auto"/>
              <w:bottom w:val="single" w:sz="4" w:space="0" w:color="auto"/>
              <w:right w:val="single" w:sz="4" w:space="0" w:color="auto"/>
            </w:tcBorders>
            <w:shd w:val="clear" w:color="auto" w:fill="auto"/>
          </w:tcPr>
          <w:p w:rsidR="009A7924" w:rsidRPr="00875CA8" w:rsidRDefault="009A7924" w:rsidP="000709A0">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Three evangelicals</w:t>
            </w:r>
            <w:r w:rsidR="000709A0">
              <w:rPr>
                <w:rFonts w:ascii="Arial" w:eastAsia="Times New Roman" w:hAnsi="Arial" w:cs="Arial"/>
                <w:color w:val="000000"/>
                <w:lang w:eastAsia="en-GB"/>
              </w:rPr>
              <w:t xml:space="preserve"> 30</w:t>
            </w:r>
            <w:r w:rsidR="000709A0" w:rsidRPr="000709A0">
              <w:rPr>
                <w:rFonts w:ascii="Arial" w:eastAsia="Times New Roman" w:hAnsi="Arial" w:cs="Arial"/>
                <w:color w:val="000000"/>
                <w:vertAlign w:val="superscript"/>
                <w:lang w:eastAsia="en-GB"/>
              </w:rPr>
              <w:t>th</w:t>
            </w:r>
            <w:r w:rsidR="000709A0">
              <w:rPr>
                <w:rFonts w:ascii="Arial" w:eastAsia="Times New Roman" w:hAnsi="Arial" w:cs="Arial"/>
                <w:color w:val="000000"/>
                <w:lang w:eastAsia="en-GB"/>
              </w:rPr>
              <w:t xml:space="preserve"> July 1540</w:t>
            </w:r>
            <w:r>
              <w:rPr>
                <w:rFonts w:ascii="Arial" w:eastAsia="Times New Roman" w:hAnsi="Arial" w:cs="Arial"/>
                <w:color w:val="000000"/>
                <w:lang w:eastAsia="en-GB"/>
              </w:rPr>
              <w:t xml:space="preserve">– John Barnes, William Jerome and Thomas </w:t>
            </w:r>
            <w:proofErr w:type="spellStart"/>
            <w:r>
              <w:rPr>
                <w:rFonts w:ascii="Arial" w:eastAsia="Times New Roman" w:hAnsi="Arial" w:cs="Arial"/>
                <w:color w:val="000000"/>
                <w:lang w:eastAsia="en-GB"/>
              </w:rPr>
              <w:t>Gerrard</w:t>
            </w:r>
            <w:proofErr w:type="spellEnd"/>
            <w:r>
              <w:rPr>
                <w:rFonts w:ascii="Arial" w:eastAsia="Times New Roman" w:hAnsi="Arial" w:cs="Arial"/>
                <w:color w:val="000000"/>
                <w:lang w:eastAsia="en-GB"/>
              </w:rPr>
              <w:t xml:space="preserve"> were burnt for heresy</w:t>
            </w:r>
            <w:r w:rsidR="000709A0">
              <w:rPr>
                <w:rFonts w:ascii="Arial" w:eastAsia="Times New Roman" w:hAnsi="Arial" w:cs="Arial"/>
                <w:color w:val="000000"/>
                <w:lang w:eastAsia="en-GB"/>
              </w:rPr>
              <w:t xml:space="preserve"> under the Six Articles</w:t>
            </w:r>
            <w:r>
              <w:rPr>
                <w:rFonts w:ascii="Arial" w:eastAsia="Times New Roman" w:hAnsi="Arial" w:cs="Arial"/>
                <w:color w:val="000000"/>
                <w:lang w:eastAsia="en-GB"/>
              </w:rPr>
              <w:t>.</w:t>
            </w:r>
          </w:p>
        </w:tc>
        <w:tc>
          <w:tcPr>
            <w:tcW w:w="1304" w:type="dxa"/>
            <w:tcBorders>
              <w:top w:val="nil"/>
              <w:left w:val="nil"/>
              <w:bottom w:val="single" w:sz="4" w:space="0" w:color="auto"/>
              <w:right w:val="single" w:sz="4" w:space="0" w:color="auto"/>
            </w:tcBorders>
            <w:shd w:val="clear" w:color="auto" w:fill="auto"/>
            <w:noWrap/>
            <w:vAlign w:val="bottom"/>
          </w:tcPr>
          <w:p w:rsidR="009A7924" w:rsidRPr="00875CA8" w:rsidRDefault="009A7924" w:rsidP="00875CA8">
            <w:pPr>
              <w:spacing w:after="0" w:line="240" w:lineRule="auto"/>
              <w:rPr>
                <w:rFonts w:ascii="Arial" w:eastAsia="Times New Roman" w:hAnsi="Arial" w:cs="Arial"/>
                <w:color w:val="000000"/>
                <w:lang w:eastAsia="en-GB"/>
              </w:rPr>
            </w:pPr>
          </w:p>
        </w:tc>
        <w:tc>
          <w:tcPr>
            <w:tcW w:w="1822" w:type="dxa"/>
            <w:tcBorders>
              <w:top w:val="nil"/>
              <w:left w:val="nil"/>
              <w:bottom w:val="single" w:sz="4" w:space="0" w:color="auto"/>
              <w:right w:val="single" w:sz="4" w:space="0" w:color="auto"/>
            </w:tcBorders>
            <w:shd w:val="clear" w:color="auto" w:fill="auto"/>
            <w:noWrap/>
            <w:vAlign w:val="bottom"/>
          </w:tcPr>
          <w:p w:rsidR="009A7924" w:rsidRPr="00875CA8" w:rsidRDefault="009A7924" w:rsidP="00875CA8">
            <w:pPr>
              <w:spacing w:after="0" w:line="240" w:lineRule="auto"/>
              <w:rPr>
                <w:rFonts w:ascii="Arial" w:eastAsia="Times New Roman" w:hAnsi="Arial" w:cs="Arial"/>
                <w:color w:val="000000"/>
                <w:lang w:eastAsia="en-GB"/>
              </w:rPr>
            </w:pPr>
          </w:p>
        </w:tc>
        <w:tc>
          <w:tcPr>
            <w:tcW w:w="1439" w:type="dxa"/>
            <w:tcBorders>
              <w:top w:val="nil"/>
              <w:left w:val="nil"/>
              <w:bottom w:val="single" w:sz="4" w:space="0" w:color="auto"/>
              <w:right w:val="single" w:sz="4" w:space="0" w:color="auto"/>
            </w:tcBorders>
            <w:shd w:val="clear" w:color="auto" w:fill="auto"/>
            <w:noWrap/>
            <w:vAlign w:val="bottom"/>
          </w:tcPr>
          <w:p w:rsidR="009A7924" w:rsidRPr="00875CA8" w:rsidRDefault="009A7924" w:rsidP="00875CA8">
            <w:pPr>
              <w:spacing w:after="0" w:line="240" w:lineRule="auto"/>
              <w:rPr>
                <w:rFonts w:ascii="Arial" w:eastAsia="Times New Roman" w:hAnsi="Arial" w:cs="Arial"/>
                <w:color w:val="000000"/>
                <w:lang w:eastAsia="en-GB"/>
              </w:rPr>
            </w:pPr>
          </w:p>
        </w:tc>
      </w:tr>
      <w:tr w:rsidR="00875CA8" w:rsidRPr="00875CA8" w:rsidTr="00875CA8">
        <w:trPr>
          <w:trHeight w:val="946"/>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The Dispensations Act (1534), the Act of First Fruits and Tenths (1534) meant that the monies of the church were absorbed by the state.</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340A61">
        <w:trPr>
          <w:trHeight w:val="700"/>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340A61">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Cromwell’s Injunctions of 1536 an 1538 emphas</w:t>
            </w:r>
            <w:r w:rsidR="00340A61">
              <w:rPr>
                <w:rFonts w:ascii="Arial" w:eastAsia="Times New Roman" w:hAnsi="Arial" w:cs="Arial"/>
                <w:color w:val="000000"/>
                <w:lang w:eastAsia="en-GB"/>
              </w:rPr>
              <w:t>ized the authority of the Bible.</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705"/>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proofErr w:type="spellStart"/>
            <w:r w:rsidRPr="00875CA8">
              <w:rPr>
                <w:rFonts w:ascii="Arial" w:eastAsia="Times New Roman" w:hAnsi="Arial" w:cs="Arial"/>
                <w:color w:val="000000"/>
                <w:lang w:eastAsia="en-GB"/>
              </w:rPr>
              <w:t>Suffragan</w:t>
            </w:r>
            <w:proofErr w:type="spellEnd"/>
            <w:r w:rsidRPr="00875CA8">
              <w:rPr>
                <w:rFonts w:ascii="Arial" w:eastAsia="Times New Roman" w:hAnsi="Arial" w:cs="Arial"/>
                <w:color w:val="000000"/>
                <w:lang w:eastAsia="en-GB"/>
              </w:rPr>
              <w:t xml:space="preserve"> Bishops Act (1534) - creating more bishops - being filled by former heads of monasteries</w:t>
            </w:r>
            <w:r w:rsidR="009A7924">
              <w:rPr>
                <w:rFonts w:ascii="Arial" w:eastAsia="Times New Roman" w:hAnsi="Arial" w:cs="Arial"/>
                <w:color w:val="000000"/>
                <w:lang w:eastAsia="en-GB"/>
              </w:rPr>
              <w:t xml:space="preserve"> after 1536</w:t>
            </w:r>
            <w:r w:rsidRPr="00875CA8">
              <w:rPr>
                <w:rFonts w:ascii="Arial" w:eastAsia="Times New Roman" w:hAnsi="Arial" w:cs="Arial"/>
                <w:color w:val="000000"/>
                <w:lang w:eastAsia="en-GB"/>
              </w:rPr>
              <w:t>.</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262"/>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5470B3" w:rsidP="00875CA8">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Dissolution of the Lesser</w:t>
            </w:r>
            <w:bookmarkStart w:id="0" w:name="_GoBack"/>
            <w:bookmarkEnd w:id="0"/>
            <w:r w:rsidR="00875CA8" w:rsidRPr="00875CA8">
              <w:rPr>
                <w:rFonts w:ascii="Arial" w:eastAsia="Times New Roman" w:hAnsi="Arial" w:cs="Arial"/>
                <w:color w:val="000000"/>
                <w:lang w:eastAsia="en-GB"/>
              </w:rPr>
              <w:t xml:space="preserve"> Monasteries (1536)</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875CA8" w:rsidRPr="00875CA8" w:rsidTr="00875CA8">
        <w:trPr>
          <w:trHeight w:val="706"/>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The four 'lost sacraments' of 1536 were never disavowed - simply not mentioned in the Act of Ten Articles</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5470B3" w:rsidRPr="00875CA8" w:rsidTr="00875CA8">
        <w:trPr>
          <w:trHeight w:val="687"/>
        </w:trPr>
        <w:tc>
          <w:tcPr>
            <w:tcW w:w="6082" w:type="dxa"/>
            <w:tcBorders>
              <w:top w:val="nil"/>
              <w:left w:val="single" w:sz="4" w:space="0" w:color="auto"/>
              <w:bottom w:val="single" w:sz="4" w:space="0" w:color="auto"/>
              <w:right w:val="single" w:sz="4" w:space="0" w:color="auto"/>
            </w:tcBorders>
            <w:shd w:val="clear" w:color="auto" w:fill="auto"/>
          </w:tcPr>
          <w:p w:rsidR="005470B3" w:rsidRPr="00875CA8" w:rsidRDefault="005470B3" w:rsidP="00875CA8">
            <w:pPr>
              <w:spacing w:after="0" w:line="240" w:lineRule="auto"/>
              <w:jc w:val="both"/>
              <w:rPr>
                <w:rFonts w:ascii="Arial" w:eastAsia="Times New Roman" w:hAnsi="Arial" w:cs="Arial"/>
                <w:color w:val="000000"/>
                <w:lang w:eastAsia="en-GB"/>
              </w:rPr>
            </w:pPr>
            <w:r>
              <w:rPr>
                <w:rFonts w:ascii="Arial" w:eastAsia="Times New Roman" w:hAnsi="Arial" w:cs="Arial"/>
                <w:color w:val="000000"/>
                <w:lang w:eastAsia="en-GB"/>
              </w:rPr>
              <w:t>Act to Dissolve the Greater Monasteries (1539)</w:t>
            </w:r>
          </w:p>
        </w:tc>
        <w:tc>
          <w:tcPr>
            <w:tcW w:w="1304" w:type="dxa"/>
            <w:tcBorders>
              <w:top w:val="nil"/>
              <w:left w:val="nil"/>
              <w:bottom w:val="single" w:sz="4" w:space="0" w:color="auto"/>
              <w:right w:val="single" w:sz="4" w:space="0" w:color="auto"/>
            </w:tcBorders>
            <w:shd w:val="clear" w:color="auto" w:fill="auto"/>
            <w:noWrap/>
            <w:vAlign w:val="bottom"/>
          </w:tcPr>
          <w:p w:rsidR="005470B3" w:rsidRPr="00875CA8" w:rsidRDefault="005470B3" w:rsidP="00875CA8">
            <w:pPr>
              <w:spacing w:after="0" w:line="240" w:lineRule="auto"/>
              <w:rPr>
                <w:rFonts w:ascii="Arial" w:eastAsia="Times New Roman" w:hAnsi="Arial" w:cs="Arial"/>
                <w:color w:val="000000"/>
                <w:lang w:eastAsia="en-GB"/>
              </w:rPr>
            </w:pPr>
          </w:p>
        </w:tc>
        <w:tc>
          <w:tcPr>
            <w:tcW w:w="1822" w:type="dxa"/>
            <w:tcBorders>
              <w:top w:val="nil"/>
              <w:left w:val="nil"/>
              <w:bottom w:val="single" w:sz="4" w:space="0" w:color="auto"/>
              <w:right w:val="single" w:sz="4" w:space="0" w:color="auto"/>
            </w:tcBorders>
            <w:shd w:val="clear" w:color="auto" w:fill="auto"/>
            <w:noWrap/>
            <w:vAlign w:val="bottom"/>
          </w:tcPr>
          <w:p w:rsidR="005470B3" w:rsidRPr="00875CA8" w:rsidRDefault="005470B3" w:rsidP="00875CA8">
            <w:pPr>
              <w:spacing w:after="0" w:line="240" w:lineRule="auto"/>
              <w:rPr>
                <w:rFonts w:ascii="Arial" w:eastAsia="Times New Roman" w:hAnsi="Arial" w:cs="Arial"/>
                <w:color w:val="000000"/>
                <w:lang w:eastAsia="en-GB"/>
              </w:rPr>
            </w:pPr>
          </w:p>
        </w:tc>
        <w:tc>
          <w:tcPr>
            <w:tcW w:w="1439" w:type="dxa"/>
            <w:tcBorders>
              <w:top w:val="nil"/>
              <w:left w:val="nil"/>
              <w:bottom w:val="single" w:sz="4" w:space="0" w:color="auto"/>
              <w:right w:val="single" w:sz="4" w:space="0" w:color="auto"/>
            </w:tcBorders>
            <w:shd w:val="clear" w:color="auto" w:fill="auto"/>
            <w:noWrap/>
            <w:vAlign w:val="bottom"/>
          </w:tcPr>
          <w:p w:rsidR="005470B3" w:rsidRPr="00875CA8" w:rsidRDefault="005470B3" w:rsidP="00875CA8">
            <w:pPr>
              <w:spacing w:after="0" w:line="240" w:lineRule="auto"/>
              <w:rPr>
                <w:rFonts w:ascii="Arial" w:eastAsia="Times New Roman" w:hAnsi="Arial" w:cs="Arial"/>
                <w:color w:val="000000"/>
                <w:lang w:eastAsia="en-GB"/>
              </w:rPr>
            </w:pPr>
          </w:p>
        </w:tc>
      </w:tr>
      <w:tr w:rsidR="00875CA8" w:rsidRPr="00875CA8" w:rsidTr="00875CA8">
        <w:trPr>
          <w:trHeight w:val="687"/>
        </w:trPr>
        <w:tc>
          <w:tcPr>
            <w:tcW w:w="6082" w:type="dxa"/>
            <w:tcBorders>
              <w:top w:val="nil"/>
              <w:left w:val="single" w:sz="4" w:space="0" w:color="auto"/>
              <w:bottom w:val="single" w:sz="4" w:space="0" w:color="auto"/>
              <w:right w:val="single" w:sz="4" w:space="0" w:color="auto"/>
            </w:tcBorders>
            <w:shd w:val="clear" w:color="auto" w:fill="auto"/>
            <w:hideMark/>
          </w:tcPr>
          <w:p w:rsidR="00875CA8" w:rsidRPr="00875CA8" w:rsidRDefault="00875CA8" w:rsidP="00875CA8">
            <w:pPr>
              <w:spacing w:after="0" w:line="240" w:lineRule="auto"/>
              <w:jc w:val="both"/>
              <w:rPr>
                <w:rFonts w:ascii="Arial" w:eastAsia="Times New Roman" w:hAnsi="Arial" w:cs="Arial"/>
                <w:color w:val="000000"/>
                <w:lang w:eastAsia="en-GB"/>
              </w:rPr>
            </w:pPr>
            <w:r w:rsidRPr="00875CA8">
              <w:rPr>
                <w:rFonts w:ascii="Arial" w:eastAsia="Times New Roman" w:hAnsi="Arial" w:cs="Arial"/>
                <w:color w:val="000000"/>
                <w:lang w:eastAsia="en-GB"/>
              </w:rPr>
              <w:t>English Litany (1544) endorsed by Henry, discouraged the invocation of saints and contained prayers in the vernacular.</w:t>
            </w:r>
          </w:p>
        </w:tc>
        <w:tc>
          <w:tcPr>
            <w:tcW w:w="1304"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875CA8" w:rsidRPr="00875CA8" w:rsidRDefault="00875CA8" w:rsidP="00875CA8">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9A7924" w:rsidRPr="00875CA8" w:rsidTr="00DC1B43">
        <w:trPr>
          <w:trHeight w:val="428"/>
        </w:trPr>
        <w:tc>
          <w:tcPr>
            <w:tcW w:w="6082" w:type="dxa"/>
            <w:tcBorders>
              <w:top w:val="nil"/>
              <w:left w:val="single" w:sz="4" w:space="0" w:color="auto"/>
              <w:bottom w:val="single" w:sz="4" w:space="0" w:color="auto"/>
              <w:right w:val="single" w:sz="4" w:space="0" w:color="auto"/>
            </w:tcBorders>
            <w:shd w:val="clear" w:color="auto" w:fill="auto"/>
            <w:hideMark/>
          </w:tcPr>
          <w:p w:rsidR="009A7924" w:rsidRPr="00875CA8" w:rsidRDefault="009A7924" w:rsidP="00DC1B43">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xml:space="preserve">Anne Askew burned as </w:t>
            </w:r>
            <w:proofErr w:type="spellStart"/>
            <w:r w:rsidRPr="00875CA8">
              <w:rPr>
                <w:rFonts w:ascii="Arial" w:eastAsia="Times New Roman" w:hAnsi="Arial" w:cs="Arial"/>
                <w:color w:val="000000"/>
                <w:lang w:eastAsia="en-GB"/>
              </w:rPr>
              <w:t>sacramentarian</w:t>
            </w:r>
            <w:proofErr w:type="spellEnd"/>
            <w:r w:rsidRPr="00875CA8">
              <w:rPr>
                <w:rFonts w:ascii="Arial" w:eastAsia="Times New Roman" w:hAnsi="Arial" w:cs="Arial"/>
                <w:color w:val="000000"/>
                <w:lang w:eastAsia="en-GB"/>
              </w:rPr>
              <w:t xml:space="preserve"> (1546)</w:t>
            </w:r>
          </w:p>
        </w:tc>
        <w:tc>
          <w:tcPr>
            <w:tcW w:w="1304" w:type="dxa"/>
            <w:tcBorders>
              <w:top w:val="nil"/>
              <w:left w:val="nil"/>
              <w:bottom w:val="single" w:sz="4" w:space="0" w:color="auto"/>
              <w:right w:val="single" w:sz="4" w:space="0" w:color="auto"/>
            </w:tcBorders>
            <w:shd w:val="clear" w:color="auto" w:fill="auto"/>
            <w:noWrap/>
            <w:vAlign w:val="bottom"/>
            <w:hideMark/>
          </w:tcPr>
          <w:p w:rsidR="009A7924" w:rsidRPr="00875CA8" w:rsidRDefault="009A7924" w:rsidP="00DC1B43">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822" w:type="dxa"/>
            <w:tcBorders>
              <w:top w:val="nil"/>
              <w:left w:val="nil"/>
              <w:bottom w:val="single" w:sz="4" w:space="0" w:color="auto"/>
              <w:right w:val="single" w:sz="4" w:space="0" w:color="auto"/>
            </w:tcBorders>
            <w:shd w:val="clear" w:color="auto" w:fill="auto"/>
            <w:noWrap/>
            <w:vAlign w:val="bottom"/>
            <w:hideMark/>
          </w:tcPr>
          <w:p w:rsidR="009A7924" w:rsidRPr="00875CA8" w:rsidRDefault="009A7924" w:rsidP="00DC1B43">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c>
          <w:tcPr>
            <w:tcW w:w="1439" w:type="dxa"/>
            <w:tcBorders>
              <w:top w:val="nil"/>
              <w:left w:val="nil"/>
              <w:bottom w:val="single" w:sz="4" w:space="0" w:color="auto"/>
              <w:right w:val="single" w:sz="4" w:space="0" w:color="auto"/>
            </w:tcBorders>
            <w:shd w:val="clear" w:color="auto" w:fill="auto"/>
            <w:noWrap/>
            <w:vAlign w:val="bottom"/>
            <w:hideMark/>
          </w:tcPr>
          <w:p w:rsidR="009A7924" w:rsidRPr="00875CA8" w:rsidRDefault="009A7924" w:rsidP="00DC1B43">
            <w:pPr>
              <w:spacing w:after="0" w:line="240" w:lineRule="auto"/>
              <w:rPr>
                <w:rFonts w:ascii="Arial" w:eastAsia="Times New Roman" w:hAnsi="Arial" w:cs="Arial"/>
                <w:color w:val="000000"/>
                <w:lang w:eastAsia="en-GB"/>
              </w:rPr>
            </w:pPr>
            <w:r w:rsidRPr="00875CA8">
              <w:rPr>
                <w:rFonts w:ascii="Arial" w:eastAsia="Times New Roman" w:hAnsi="Arial" w:cs="Arial"/>
                <w:color w:val="000000"/>
                <w:lang w:eastAsia="en-GB"/>
              </w:rPr>
              <w:t> </w:t>
            </w:r>
          </w:p>
        </w:tc>
      </w:tr>
      <w:tr w:rsidR="00340A61" w:rsidRPr="00875CA8" w:rsidTr="00DC1B43">
        <w:trPr>
          <w:trHeight w:val="428"/>
        </w:trPr>
        <w:tc>
          <w:tcPr>
            <w:tcW w:w="6082" w:type="dxa"/>
            <w:tcBorders>
              <w:top w:val="nil"/>
              <w:left w:val="single" w:sz="4" w:space="0" w:color="auto"/>
              <w:bottom w:val="single" w:sz="4" w:space="0" w:color="auto"/>
              <w:right w:val="single" w:sz="4" w:space="0" w:color="auto"/>
            </w:tcBorders>
            <w:shd w:val="clear" w:color="auto" w:fill="auto"/>
          </w:tcPr>
          <w:p w:rsidR="00340A61" w:rsidRPr="00875CA8" w:rsidRDefault="00340A61" w:rsidP="00DC1B43">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 xml:space="preserve">Latimer and </w:t>
            </w:r>
            <w:proofErr w:type="spellStart"/>
            <w:r>
              <w:rPr>
                <w:rFonts w:ascii="Arial" w:eastAsia="Times New Roman" w:hAnsi="Arial" w:cs="Arial"/>
                <w:color w:val="000000"/>
                <w:lang w:eastAsia="en-GB"/>
              </w:rPr>
              <w:t>Shaxton</w:t>
            </w:r>
            <w:proofErr w:type="spellEnd"/>
            <w:r>
              <w:rPr>
                <w:rFonts w:ascii="Arial" w:eastAsia="Times New Roman" w:hAnsi="Arial" w:cs="Arial"/>
                <w:color w:val="000000"/>
                <w:lang w:eastAsia="en-GB"/>
              </w:rPr>
              <w:t xml:space="preserve"> (evangelical bishops) resigned after Act of Six Articles (1539) was passed.</w:t>
            </w:r>
          </w:p>
        </w:tc>
        <w:tc>
          <w:tcPr>
            <w:tcW w:w="1304" w:type="dxa"/>
            <w:tcBorders>
              <w:top w:val="nil"/>
              <w:left w:val="nil"/>
              <w:bottom w:val="single" w:sz="4" w:space="0" w:color="auto"/>
              <w:right w:val="single" w:sz="4" w:space="0" w:color="auto"/>
            </w:tcBorders>
            <w:shd w:val="clear" w:color="auto" w:fill="auto"/>
            <w:noWrap/>
            <w:vAlign w:val="bottom"/>
          </w:tcPr>
          <w:p w:rsidR="00340A61" w:rsidRPr="00875CA8" w:rsidRDefault="00340A61" w:rsidP="00DC1B43">
            <w:pPr>
              <w:spacing w:after="0" w:line="240" w:lineRule="auto"/>
              <w:rPr>
                <w:rFonts w:ascii="Arial" w:eastAsia="Times New Roman" w:hAnsi="Arial" w:cs="Arial"/>
                <w:color w:val="000000"/>
                <w:lang w:eastAsia="en-GB"/>
              </w:rPr>
            </w:pPr>
          </w:p>
        </w:tc>
        <w:tc>
          <w:tcPr>
            <w:tcW w:w="1822" w:type="dxa"/>
            <w:tcBorders>
              <w:top w:val="nil"/>
              <w:left w:val="nil"/>
              <w:bottom w:val="single" w:sz="4" w:space="0" w:color="auto"/>
              <w:right w:val="single" w:sz="4" w:space="0" w:color="auto"/>
            </w:tcBorders>
            <w:shd w:val="clear" w:color="auto" w:fill="auto"/>
            <w:noWrap/>
            <w:vAlign w:val="bottom"/>
          </w:tcPr>
          <w:p w:rsidR="00340A61" w:rsidRPr="00875CA8" w:rsidRDefault="00340A61" w:rsidP="00DC1B43">
            <w:pPr>
              <w:spacing w:after="0" w:line="240" w:lineRule="auto"/>
              <w:rPr>
                <w:rFonts w:ascii="Arial" w:eastAsia="Times New Roman" w:hAnsi="Arial" w:cs="Arial"/>
                <w:color w:val="000000"/>
                <w:lang w:eastAsia="en-GB"/>
              </w:rPr>
            </w:pPr>
          </w:p>
        </w:tc>
        <w:tc>
          <w:tcPr>
            <w:tcW w:w="1439" w:type="dxa"/>
            <w:tcBorders>
              <w:top w:val="nil"/>
              <w:left w:val="nil"/>
              <w:bottom w:val="single" w:sz="4" w:space="0" w:color="auto"/>
              <w:right w:val="single" w:sz="4" w:space="0" w:color="auto"/>
            </w:tcBorders>
            <w:shd w:val="clear" w:color="auto" w:fill="auto"/>
            <w:noWrap/>
            <w:vAlign w:val="bottom"/>
          </w:tcPr>
          <w:p w:rsidR="00340A61" w:rsidRPr="00875CA8" w:rsidRDefault="00340A61" w:rsidP="00DC1B43">
            <w:pPr>
              <w:spacing w:after="0" w:line="240" w:lineRule="auto"/>
              <w:rPr>
                <w:rFonts w:ascii="Arial" w:eastAsia="Times New Roman" w:hAnsi="Arial" w:cs="Arial"/>
                <w:color w:val="000000"/>
                <w:lang w:eastAsia="en-GB"/>
              </w:rPr>
            </w:pPr>
          </w:p>
        </w:tc>
      </w:tr>
      <w:tr w:rsidR="009A7924" w:rsidRPr="00875CA8" w:rsidTr="00875CA8">
        <w:trPr>
          <w:trHeight w:val="687"/>
        </w:trPr>
        <w:tc>
          <w:tcPr>
            <w:tcW w:w="6082" w:type="dxa"/>
            <w:tcBorders>
              <w:top w:val="nil"/>
              <w:left w:val="single" w:sz="4" w:space="0" w:color="auto"/>
              <w:bottom w:val="single" w:sz="4" w:space="0" w:color="auto"/>
              <w:right w:val="single" w:sz="4" w:space="0" w:color="auto"/>
            </w:tcBorders>
            <w:shd w:val="clear" w:color="auto" w:fill="auto"/>
          </w:tcPr>
          <w:p w:rsidR="009A7924" w:rsidRPr="00875CA8" w:rsidRDefault="009A7924" w:rsidP="009A7924">
            <w:pPr>
              <w:spacing w:after="0" w:line="240" w:lineRule="auto"/>
              <w:jc w:val="both"/>
              <w:rPr>
                <w:rFonts w:ascii="Arial" w:eastAsia="Times New Roman" w:hAnsi="Arial" w:cs="Arial"/>
                <w:color w:val="000000"/>
                <w:lang w:eastAsia="en-GB"/>
              </w:rPr>
            </w:pPr>
            <w:r>
              <w:rPr>
                <w:rFonts w:ascii="Arial" w:eastAsia="Times New Roman" w:hAnsi="Arial" w:cs="Arial"/>
                <w:color w:val="000000"/>
                <w:lang w:eastAsia="en-GB"/>
              </w:rPr>
              <w:t xml:space="preserve">Thomas Cromwell, leader of the evangelical faction and Henry’s former ‘Vicegerent in the spirituals’ executed in 1540. </w:t>
            </w:r>
            <w:r w:rsidR="00340A61">
              <w:rPr>
                <w:rFonts w:ascii="Arial" w:eastAsia="Times New Roman" w:hAnsi="Arial" w:cs="Arial"/>
                <w:color w:val="000000"/>
                <w:lang w:eastAsia="en-GB"/>
              </w:rPr>
              <w:t xml:space="preserve"> </w:t>
            </w:r>
          </w:p>
        </w:tc>
        <w:tc>
          <w:tcPr>
            <w:tcW w:w="1304" w:type="dxa"/>
            <w:tcBorders>
              <w:top w:val="nil"/>
              <w:left w:val="nil"/>
              <w:bottom w:val="single" w:sz="4" w:space="0" w:color="auto"/>
              <w:right w:val="single" w:sz="4" w:space="0" w:color="auto"/>
            </w:tcBorders>
            <w:shd w:val="clear" w:color="auto" w:fill="auto"/>
            <w:noWrap/>
            <w:vAlign w:val="bottom"/>
          </w:tcPr>
          <w:p w:rsidR="009A7924" w:rsidRPr="00875CA8" w:rsidRDefault="009A7924" w:rsidP="00875CA8">
            <w:pPr>
              <w:spacing w:after="0" w:line="240" w:lineRule="auto"/>
              <w:rPr>
                <w:rFonts w:ascii="Arial" w:eastAsia="Times New Roman" w:hAnsi="Arial" w:cs="Arial"/>
                <w:color w:val="000000"/>
                <w:lang w:eastAsia="en-GB"/>
              </w:rPr>
            </w:pPr>
          </w:p>
        </w:tc>
        <w:tc>
          <w:tcPr>
            <w:tcW w:w="1822" w:type="dxa"/>
            <w:tcBorders>
              <w:top w:val="nil"/>
              <w:left w:val="nil"/>
              <w:bottom w:val="single" w:sz="4" w:space="0" w:color="auto"/>
              <w:right w:val="single" w:sz="4" w:space="0" w:color="auto"/>
            </w:tcBorders>
            <w:shd w:val="clear" w:color="auto" w:fill="auto"/>
            <w:noWrap/>
            <w:vAlign w:val="bottom"/>
          </w:tcPr>
          <w:p w:rsidR="009A7924" w:rsidRPr="00875CA8" w:rsidRDefault="009A7924" w:rsidP="00875CA8">
            <w:pPr>
              <w:spacing w:after="0" w:line="240" w:lineRule="auto"/>
              <w:rPr>
                <w:rFonts w:ascii="Arial" w:eastAsia="Times New Roman" w:hAnsi="Arial" w:cs="Arial"/>
                <w:color w:val="000000"/>
                <w:lang w:eastAsia="en-GB"/>
              </w:rPr>
            </w:pPr>
          </w:p>
        </w:tc>
        <w:tc>
          <w:tcPr>
            <w:tcW w:w="1439" w:type="dxa"/>
            <w:tcBorders>
              <w:top w:val="nil"/>
              <w:left w:val="nil"/>
              <w:bottom w:val="single" w:sz="4" w:space="0" w:color="auto"/>
              <w:right w:val="single" w:sz="4" w:space="0" w:color="auto"/>
            </w:tcBorders>
            <w:shd w:val="clear" w:color="auto" w:fill="auto"/>
            <w:noWrap/>
            <w:vAlign w:val="bottom"/>
          </w:tcPr>
          <w:p w:rsidR="009A7924" w:rsidRPr="00875CA8" w:rsidRDefault="009A7924" w:rsidP="00875CA8">
            <w:pPr>
              <w:spacing w:after="0" w:line="240" w:lineRule="auto"/>
              <w:rPr>
                <w:rFonts w:ascii="Arial" w:eastAsia="Times New Roman" w:hAnsi="Arial" w:cs="Arial"/>
                <w:color w:val="000000"/>
                <w:lang w:eastAsia="en-GB"/>
              </w:rPr>
            </w:pPr>
          </w:p>
        </w:tc>
      </w:tr>
    </w:tbl>
    <w:p w:rsidR="00875CA8" w:rsidRDefault="00875CA8">
      <w:pPr>
        <w:rPr>
          <w:rFonts w:ascii="Arial" w:hAnsi="Arial" w:cs="Arial"/>
        </w:rPr>
      </w:pPr>
    </w:p>
    <w:p w:rsidR="000709A0" w:rsidRDefault="000709A0">
      <w:pPr>
        <w:rPr>
          <w:rFonts w:ascii="Arial" w:hAnsi="Arial" w:cs="Arial"/>
        </w:rPr>
      </w:pPr>
      <w:r>
        <w:rPr>
          <w:rFonts w:ascii="Arial" w:hAnsi="Arial" w:cs="Arial"/>
        </w:rPr>
        <w:t>Next steps:</w:t>
      </w:r>
    </w:p>
    <w:p w:rsidR="000709A0" w:rsidRDefault="00340A61">
      <w:pPr>
        <w:rPr>
          <w:rFonts w:ascii="Arial" w:hAnsi="Arial" w:cs="Arial"/>
        </w:rPr>
      </w:pPr>
      <w:r>
        <w:rPr>
          <w:rFonts w:ascii="Arial" w:hAnsi="Arial" w:cs="Arial"/>
        </w:rPr>
        <w:t>In your essay o</w:t>
      </w:r>
      <w:r w:rsidR="000709A0">
        <w:rPr>
          <w:rFonts w:ascii="Arial" w:hAnsi="Arial" w:cs="Arial"/>
        </w:rPr>
        <w:t>rganise th</w:t>
      </w:r>
      <w:r>
        <w:rPr>
          <w:rFonts w:ascii="Arial" w:hAnsi="Arial" w:cs="Arial"/>
        </w:rPr>
        <w:t>e above</w:t>
      </w:r>
      <w:r w:rsidR="000709A0">
        <w:rPr>
          <w:rFonts w:ascii="Arial" w:hAnsi="Arial" w:cs="Arial"/>
        </w:rPr>
        <w:t xml:space="preserve"> material chronologically.</w:t>
      </w:r>
      <w:r>
        <w:rPr>
          <w:rFonts w:ascii="Arial" w:hAnsi="Arial" w:cs="Arial"/>
        </w:rPr>
        <w:t xml:space="preserve">  Ma</w:t>
      </w:r>
      <w:r w:rsidR="00F539EF">
        <w:rPr>
          <w:rFonts w:ascii="Arial" w:hAnsi="Arial" w:cs="Arial"/>
        </w:rPr>
        <w:t>ke</w:t>
      </w:r>
      <w:r>
        <w:rPr>
          <w:rFonts w:ascii="Arial" w:hAnsi="Arial" w:cs="Arial"/>
        </w:rPr>
        <w:t xml:space="preserve"> use of it all!</w:t>
      </w:r>
    </w:p>
    <w:p w:rsidR="000709A0" w:rsidRDefault="00340A61">
      <w:pPr>
        <w:rPr>
          <w:rFonts w:ascii="Arial" w:hAnsi="Arial" w:cs="Arial"/>
        </w:rPr>
      </w:pPr>
      <w:r>
        <w:rPr>
          <w:rFonts w:ascii="Arial" w:hAnsi="Arial" w:cs="Arial"/>
        </w:rPr>
        <w:t xml:space="preserve">24 mark questions </w:t>
      </w:r>
      <w:r w:rsidR="000709A0">
        <w:rPr>
          <w:rFonts w:ascii="Arial" w:hAnsi="Arial" w:cs="Arial"/>
        </w:rPr>
        <w:t>may work best if done in two halves – one side supporting the idea of a Reformation – the other challenging that idea. (</w:t>
      </w:r>
      <w:proofErr w:type="gramStart"/>
      <w:r w:rsidR="000709A0">
        <w:rPr>
          <w:rFonts w:ascii="Arial" w:hAnsi="Arial" w:cs="Arial"/>
        </w:rPr>
        <w:t>e.g</w:t>
      </w:r>
      <w:proofErr w:type="gramEnd"/>
      <w:r w:rsidR="000709A0">
        <w:rPr>
          <w:rFonts w:ascii="Arial" w:hAnsi="Arial" w:cs="Arial"/>
        </w:rPr>
        <w:t>. On the one hand yes the church changed under Henry, on the other hand, it did not change doctrinally…)</w:t>
      </w:r>
    </w:p>
    <w:p w:rsidR="000709A0" w:rsidRPr="00875CA8" w:rsidRDefault="00625A20">
      <w:pPr>
        <w:rPr>
          <w:rFonts w:ascii="Arial" w:hAnsi="Arial" w:cs="Arial"/>
        </w:rPr>
      </w:pPr>
      <w:r>
        <w:rPr>
          <w:rFonts w:ascii="Arial" w:hAnsi="Arial" w:cs="Arial"/>
        </w:rPr>
        <w:t xml:space="preserve">In </w:t>
      </w:r>
      <w:r w:rsidR="00F539EF">
        <w:rPr>
          <w:rFonts w:ascii="Arial" w:hAnsi="Arial" w:cs="Arial"/>
        </w:rPr>
        <w:t>writing an introduction/</w:t>
      </w:r>
      <w:r>
        <w:rPr>
          <w:rFonts w:ascii="Arial" w:hAnsi="Arial" w:cs="Arial"/>
        </w:rPr>
        <w:t xml:space="preserve">conclusion think about </w:t>
      </w:r>
      <w:r w:rsidR="000709A0">
        <w:rPr>
          <w:rFonts w:ascii="Arial" w:hAnsi="Arial" w:cs="Arial"/>
        </w:rPr>
        <w:t xml:space="preserve">– what is Henry’s own position?  Is he consistent?  Why is he concerned to get involved?  </w:t>
      </w:r>
      <w:r w:rsidR="00340A61">
        <w:rPr>
          <w:rFonts w:ascii="Arial" w:hAnsi="Arial" w:cs="Arial"/>
        </w:rPr>
        <w:t>What is his goal and purpose?</w:t>
      </w:r>
    </w:p>
    <w:sectPr w:rsidR="000709A0" w:rsidRPr="00875CA8" w:rsidSect="00875C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CA8"/>
    <w:rsid w:val="000709A0"/>
    <w:rsid w:val="00097FAE"/>
    <w:rsid w:val="00340A61"/>
    <w:rsid w:val="005470B3"/>
    <w:rsid w:val="00625A20"/>
    <w:rsid w:val="00875CA8"/>
    <w:rsid w:val="00997C30"/>
    <w:rsid w:val="009A7924"/>
    <w:rsid w:val="00F539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678382">
      <w:bodyDiv w:val="1"/>
      <w:marLeft w:val="0"/>
      <w:marRight w:val="0"/>
      <w:marTop w:val="0"/>
      <w:marBottom w:val="0"/>
      <w:divBdr>
        <w:top w:val="none" w:sz="0" w:space="0" w:color="auto"/>
        <w:left w:val="none" w:sz="0" w:space="0" w:color="auto"/>
        <w:bottom w:val="none" w:sz="0" w:space="0" w:color="auto"/>
        <w:right w:val="none" w:sz="0" w:space="0" w:color="auto"/>
      </w:divBdr>
    </w:div>
    <w:div w:id="1067534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750</Words>
  <Characters>4278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S.Matthews</dc:creator>
  <cp:lastModifiedBy>S.Matthews</cp:lastModifiedBy>
  <cp:revision>2</cp:revision>
  <cp:lastPrinted>2015-02-11T18:14:00Z</cp:lastPrinted>
  <dcterms:created xsi:type="dcterms:W3CDTF">2015-02-12T12:04:00Z</dcterms:created>
  <dcterms:modified xsi:type="dcterms:W3CDTF">2015-02-12T12:04:00Z</dcterms:modified>
</cp:coreProperties>
</file>