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71A7" w:rsidRDefault="00FC71A7" w:rsidP="00FC71A7">
      <w:pPr>
        <w:spacing w:after="420" w:line="288" w:lineRule="atLeast"/>
        <w:outlineLvl w:val="0"/>
        <w:rPr>
          <w:rFonts w:ascii="Helvetica" w:eastAsia="Times New Roman" w:hAnsi="Helvetica" w:cs="Helvetica"/>
          <w:b/>
          <w:bCs/>
          <w:color w:val="000000"/>
          <w:spacing w:val="-30"/>
          <w:kern w:val="36"/>
          <w:sz w:val="60"/>
          <w:szCs w:val="60"/>
          <w:lang w:val="en" w:eastAsia="en-GB"/>
        </w:rPr>
      </w:pPr>
      <w:r w:rsidRPr="00FC71A7">
        <w:rPr>
          <w:rFonts w:ascii="Helvetica" w:eastAsia="Times New Roman" w:hAnsi="Helvetica" w:cs="Helvetica"/>
          <w:b/>
          <w:bCs/>
          <w:color w:val="000000"/>
          <w:spacing w:val="-30"/>
          <w:kern w:val="36"/>
          <w:sz w:val="60"/>
          <w:szCs w:val="60"/>
          <w:lang w:val="en" w:eastAsia="en-GB"/>
        </w:rPr>
        <w:t>Stabbed at the Front</w:t>
      </w:r>
    </w:p>
    <w:p w:rsidR="00FC71A7" w:rsidRDefault="00FC71A7" w:rsidP="00FC71A7">
      <w:pPr>
        <w:spacing w:after="420" w:line="288" w:lineRule="atLeast"/>
        <w:outlineLvl w:val="0"/>
        <w:rPr>
          <w:rFonts w:asciiTheme="majorHAnsi" w:eastAsia="Times New Roman" w:hAnsiTheme="majorHAnsi" w:cs="Helvetica"/>
          <w:bCs/>
          <w:color w:val="000000"/>
          <w:spacing w:val="-30"/>
          <w:kern w:val="36"/>
          <w:sz w:val="24"/>
          <w:szCs w:val="24"/>
          <w:lang w:val="en" w:eastAsia="en-GB"/>
        </w:rPr>
      </w:pPr>
      <w:hyperlink r:id="rId4" w:history="1">
        <w:r w:rsidRPr="0097237D">
          <w:rPr>
            <w:rStyle w:val="Hyperlink"/>
            <w:rFonts w:asciiTheme="majorHAnsi" w:eastAsia="Times New Roman" w:hAnsiTheme="majorHAnsi" w:cs="Helvetica"/>
            <w:bCs/>
            <w:spacing w:val="-30"/>
            <w:kern w:val="36"/>
            <w:sz w:val="24"/>
            <w:szCs w:val="24"/>
            <w:lang w:val="en" w:eastAsia="en-GB"/>
          </w:rPr>
          <w:t>https://www.historytoday.com/alexander-watson/stabbed-front</w:t>
        </w:r>
      </w:hyperlink>
    </w:p>
    <w:p w:rsidR="00FC71A7" w:rsidRPr="00FC71A7" w:rsidRDefault="00FC71A7" w:rsidP="00FC71A7">
      <w:pPr>
        <w:spacing w:after="210" w:line="240" w:lineRule="auto"/>
        <w:rPr>
          <w:rFonts w:ascii="Arial" w:eastAsia="Times New Roman" w:hAnsi="Arial" w:cs="Arial"/>
          <w:color w:val="000000"/>
          <w:sz w:val="24"/>
          <w:szCs w:val="24"/>
          <w:lang w:val="en" w:eastAsia="en-GB"/>
        </w:rPr>
      </w:pPr>
      <w:bookmarkStart w:id="0" w:name="_GoBack"/>
      <w:bookmarkEnd w:id="0"/>
      <w:r w:rsidRPr="00FC71A7">
        <w:rPr>
          <w:rFonts w:ascii="Arial" w:eastAsia="Times New Roman" w:hAnsi="Arial" w:cs="Arial"/>
          <w:color w:val="000000"/>
          <w:sz w:val="24"/>
          <w:szCs w:val="24"/>
          <w:lang w:val="en" w:eastAsia="en-GB"/>
        </w:rPr>
        <w:t>After 1918 the myth was created that the German army only lost the war because it had been ‘stabbed in the back’ by defeatists and revolutionaries on the Home Front. Alexander Watson reviews the clear evidence that in reality it simply lost the will to go on fighting.</w:t>
      </w:r>
    </w:p>
    <w:p w:rsidR="00FC71A7" w:rsidRPr="00FC71A7" w:rsidRDefault="00FC71A7" w:rsidP="00FC71A7">
      <w:pPr>
        <w:spacing w:after="0" w:line="240" w:lineRule="auto"/>
        <w:rPr>
          <w:rFonts w:ascii="Arial" w:eastAsia="Times New Roman" w:hAnsi="Arial" w:cs="Arial"/>
          <w:color w:val="000000"/>
          <w:sz w:val="24"/>
          <w:szCs w:val="24"/>
          <w:lang w:val="en" w:eastAsia="en-GB"/>
        </w:rPr>
      </w:pPr>
      <w:hyperlink r:id="rId5" w:history="1">
        <w:r w:rsidRPr="00FC71A7">
          <w:rPr>
            <w:rFonts w:ascii="Times New Roman" w:eastAsia="Times New Roman" w:hAnsi="Times New Roman" w:cs="Times New Roman"/>
            <w:b/>
            <w:bCs/>
            <w:color w:val="0E809A"/>
            <w:sz w:val="24"/>
            <w:szCs w:val="24"/>
            <w:lang w:val="en" w:eastAsia="en-GB"/>
          </w:rPr>
          <w:t>Alexander Watson</w:t>
        </w:r>
      </w:hyperlink>
      <w:r w:rsidRPr="00FC71A7">
        <w:rPr>
          <w:rFonts w:ascii="Arial" w:eastAsia="Times New Roman" w:hAnsi="Arial" w:cs="Arial"/>
          <w:color w:val="000000"/>
          <w:sz w:val="24"/>
          <w:szCs w:val="24"/>
          <w:lang w:val="en" w:eastAsia="en-GB"/>
        </w:rPr>
        <w:t xml:space="preserve"> | Published in </w:t>
      </w:r>
      <w:hyperlink r:id="rId6" w:history="1">
        <w:r w:rsidRPr="00FC71A7">
          <w:rPr>
            <w:rFonts w:ascii="Arial" w:eastAsia="Times New Roman" w:hAnsi="Arial" w:cs="Arial"/>
            <w:color w:val="0E809A"/>
            <w:sz w:val="24"/>
            <w:szCs w:val="24"/>
            <w:lang w:val="en" w:eastAsia="en-GB"/>
          </w:rPr>
          <w:t>History Today</w:t>
        </w:r>
      </w:hyperlink>
      <w:r w:rsidRPr="00FC71A7">
        <w:rPr>
          <w:rFonts w:ascii="Arial" w:eastAsia="Times New Roman" w:hAnsi="Arial" w:cs="Arial"/>
          <w:color w:val="000000"/>
          <w:sz w:val="24"/>
          <w:szCs w:val="24"/>
          <w:lang w:val="en" w:eastAsia="en-GB"/>
        </w:rPr>
        <w:t xml:space="preserve"> </w:t>
      </w:r>
      <w:hyperlink r:id="rId7" w:history="1">
        <w:r w:rsidRPr="00FC71A7">
          <w:rPr>
            <w:rFonts w:ascii="Arial" w:eastAsia="Times New Roman" w:hAnsi="Arial" w:cs="Arial"/>
            <w:color w:val="0E809A"/>
            <w:sz w:val="24"/>
            <w:szCs w:val="24"/>
            <w:lang w:val="en" w:eastAsia="en-GB"/>
          </w:rPr>
          <w:t>Volume 58 Issue 11 November 2008</w:t>
        </w:r>
      </w:hyperlink>
      <w:r w:rsidRPr="00FC71A7">
        <w:rPr>
          <w:rFonts w:ascii="Arial" w:eastAsia="Times New Roman" w:hAnsi="Arial" w:cs="Arial"/>
          <w:color w:val="000000"/>
          <w:sz w:val="24"/>
          <w:szCs w:val="24"/>
          <w:lang w:val="en" w:eastAsia="en-GB"/>
        </w:rPr>
        <w:t xml:space="preserve"> </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To generations familiar with the total defeat of Hitler’s </w:t>
      </w:r>
      <w:r w:rsidRPr="00FC71A7">
        <w:rPr>
          <w:rFonts w:ascii="Arial" w:eastAsia="Times New Roman" w:hAnsi="Arial" w:cs="Arial"/>
          <w:i/>
          <w:iCs/>
          <w:color w:val="000000"/>
          <w:sz w:val="24"/>
          <w:szCs w:val="24"/>
          <w:lang w:val="en" w:eastAsia="en-GB"/>
        </w:rPr>
        <w:t>Reich</w:t>
      </w:r>
      <w:r w:rsidRPr="00FC71A7">
        <w:rPr>
          <w:rFonts w:ascii="Arial" w:eastAsia="Times New Roman" w:hAnsi="Arial" w:cs="Arial"/>
          <w:color w:val="000000"/>
          <w:sz w:val="24"/>
          <w:szCs w:val="24"/>
          <w:lang w:val="en" w:eastAsia="en-GB"/>
        </w:rPr>
        <w:t xml:space="preserve"> in 1945, the Allied victory over the Germans in the First World War appears curiously incomplete. When the armistice came into force on November 11th, 1918, the German Field Army in the west numbered 2,500,000 and was still in position mainly on foreign soil.  Between the wars, right-wing advocates of the ‘stab in the back’  legend seized on these facts to argue that Germany had remained undefeated in the field, putting the blame instead on the outbreak of revolution at home in early November for the humiliating capitulation.</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Yet the fact is that on September 29th, a full month before the beginning of the unrest at home, Germany’s military leaders, General Erich Ludendorff and Field Marshal Paul von Hindenburg, had urgently demanded that an immediate armistice be organized. Their desperate desire for peace derived not from any domestic considerations nor even the weakness of Germany’s allies; it was due principally to the parlous state of their army. The war had been above all a contest of endurance and, during the course of 1918, the accumulated strain and the hopelessness of its situation had broken the army’s will to continue fighting. A psychological crisis, experienced first by the fighting soldiers and their officers but then spreading up through the ranks to the top levels of the High Command, caused a disastrous deterioration in combat motivation and fighting efficiency, ultimately forcing Germany’s ignominious exit from the war.</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The year 1918 had begun promisingly for the Germans. The army had suffered 1,500,000 killed by the end of 1917 and was displaying ominous signs of war weariness, most visible in the rising incidence of desertion and a spate of small-scale mutinies in the second half of the year; but its prospects had been considerably improved by the outbreak of the October Revolution in Russia. The Bolsheviks’ rapid withdrawal from the war allowed Ludendorff to plan a major ‘last card’ offensive in the west, designed to administer a knockout blow before the US army mustered in overwhelming strength in Europe. By transferring troops from eastern theatres over the winter of 1917-18, the Germans were able to concentrate 191 divisions in the west against the 178 of the Allies. The youngest and fittest men were assembled in the 56 divisions earmarked to lead the offensive and they were given special assault training and the best equipment. These thorough preparations, combined with the fact that Russia was now out of the war, raised German morale considerably. Yet the soldiers’ newfound optimism was fragile and based on the assumption that the coming offensive would swiftly achieve a decisive victory, enabling them finally to return home. One infantry officer, Lieutenant Friedrich Müller, expressed the dominant mood when he pleaded in his diary just before the offensive: ‘God, give us Germans victory, don’t place the people under still greater tests.’</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When the great assault began on the morning of March 21st, 1918, against British lines guarding the Somme, it was initially devastating. A five-hour preparatory bombardment, in which 1,160,000 shells were fired into the positions of the British Fifth and Third Armies, was followed by infantry attacks in thick fog. German troops rapidly overran British forward </w:t>
      </w:r>
      <w:proofErr w:type="spellStart"/>
      <w:r w:rsidRPr="00FC71A7">
        <w:rPr>
          <w:rFonts w:ascii="Arial" w:eastAsia="Times New Roman" w:hAnsi="Arial" w:cs="Arial"/>
          <w:color w:val="000000"/>
          <w:sz w:val="24"/>
          <w:szCs w:val="24"/>
          <w:lang w:val="en" w:eastAsia="en-GB"/>
        </w:rPr>
        <w:t>defences</w:t>
      </w:r>
      <w:proofErr w:type="spellEnd"/>
      <w:r w:rsidRPr="00FC71A7">
        <w:rPr>
          <w:rFonts w:ascii="Arial" w:eastAsia="Times New Roman" w:hAnsi="Arial" w:cs="Arial"/>
          <w:color w:val="000000"/>
          <w:sz w:val="24"/>
          <w:szCs w:val="24"/>
          <w:lang w:val="en" w:eastAsia="en-GB"/>
        </w:rPr>
        <w:t xml:space="preserve"> and moved through into the fortified areas behind. Although the ambitious objectives set for the first day were not reached, the Germans did capture almost 100 square miles of ground and 500 guns and inflicted over 38,000 casualties. The following days saw more German gains, but as resistance stiffened and the infantry units outran their artillery support and supply lines, the advance slowed. When it finally came to a halt on April 5th, the army had penetrated 40 miles behind Allied lines, causing 212,000 casualties, but it had failed to create a decisive breakthrough. Subsequent attacks launched in Flanders (April 9th to 11th), against Amiens (April 24th), on the River Aisne (May 27th) and </w:t>
      </w:r>
      <w:proofErr w:type="spellStart"/>
      <w:r w:rsidRPr="00FC71A7">
        <w:rPr>
          <w:rFonts w:ascii="Arial" w:eastAsia="Times New Roman" w:hAnsi="Arial" w:cs="Arial"/>
          <w:color w:val="000000"/>
          <w:sz w:val="24"/>
          <w:szCs w:val="24"/>
          <w:lang w:val="en" w:eastAsia="en-GB"/>
        </w:rPr>
        <w:t>Matz</w:t>
      </w:r>
      <w:proofErr w:type="spellEnd"/>
      <w:r w:rsidRPr="00FC71A7">
        <w:rPr>
          <w:rFonts w:ascii="Arial" w:eastAsia="Times New Roman" w:hAnsi="Arial" w:cs="Arial"/>
          <w:color w:val="000000"/>
          <w:sz w:val="24"/>
          <w:szCs w:val="24"/>
          <w:lang w:val="en" w:eastAsia="en-GB"/>
        </w:rPr>
        <w:t xml:space="preserve"> (June 9th), and, finally, at Rheims (July 15th) inflicted hundreds of thousands more losses on the British and French armies, but pushed back rather than ruptured the Allied lines, creating enormous, indefensible </w:t>
      </w:r>
      <w:proofErr w:type="spellStart"/>
      <w:r w:rsidRPr="00FC71A7">
        <w:rPr>
          <w:rFonts w:ascii="Arial" w:eastAsia="Times New Roman" w:hAnsi="Arial" w:cs="Arial"/>
          <w:color w:val="000000"/>
          <w:sz w:val="24"/>
          <w:szCs w:val="24"/>
          <w:lang w:val="en" w:eastAsia="en-GB"/>
        </w:rPr>
        <w:t>salients</w:t>
      </w:r>
      <w:proofErr w:type="spellEnd"/>
      <w:r w:rsidRPr="00FC71A7">
        <w:rPr>
          <w:rFonts w:ascii="Arial" w:eastAsia="Times New Roman" w:hAnsi="Arial" w:cs="Arial"/>
          <w:color w:val="000000"/>
          <w:sz w:val="24"/>
          <w:szCs w:val="24"/>
          <w:lang w:val="en" w:eastAsia="en-GB"/>
        </w:rPr>
        <w:t>. The cost of these efforts for the Germans was prohibitive: total losses during the offensive amounted to some 978,000 men. Moreover, whereas the Allies were able to replace their casualties with the fresh American troops arriving in France, the Germans had no adequate reserves. By mid-July, the Germans found themselves holding a weakly fortified front seventy-five miles longer than in March, but with their strength reduced to 3,580,000 men. Infantry companies, once 120 strong, now typically had just seventy to ninety soldiers.</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The heavy casualties and failure to win a quick, decisive victory seriously affected the morale and the resilience of the German army. Junior officers and the well-trained men of the élite divisions that had spearheaded the assaults suffered disproportionately severe losses. The trenches were now largely held by inferior units made up of older, unenthusiastic and less well-equipped men. Even as early as the end of April, despondency was widespread and troops had become noticeably more hesitant in attack. Discipline suffered under the immense physical strain and hunger, a perennial problem for the German army due to the food shortages caused by the British naval blockade, became severely disruptive. During the spring, underfed combatants delayed the advance by stopping to plunder well-stocked French towns and Allied depots for food and alcohol. When attacks began to fail and opportunities for such looting declined, hungry soldiers, sometimes led by their NCOs and officers, stole their own army’s provisions. In May at least one division was forced to equip its supply trains with light machine-guns to ward off pillagers. Exhaustion was also beginning to affect performance. In May, for example, Infantry Regiment 74 mutinied when ordered to return to the front after previously suffering heavy casualties and ration carriers serving in Infantry Regiment 97 refused to go up the line. The following month, Infantry Regiment 419 faced both mutiny and desertions. By the middle of June, the Second Army command on the Somme was complaining that ‘cases of soldiers openly refusing to obey orders are increasing to an alarming extent’.</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Deteriorating discipline at the front in the early summer was matched at the same time by even more serious insubordination along the army’s lines of communication. In May, transports transferring middle-aged reservists from the Eastern Front regularly arrived in France and Flanders lacking up to twenty</w:t>
      </w:r>
      <w:proofErr w:type="gramStart"/>
      <w:r w:rsidRPr="00FC71A7">
        <w:rPr>
          <w:rFonts w:ascii="Arial" w:eastAsia="Times New Roman" w:hAnsi="Arial" w:cs="Arial"/>
          <w:color w:val="000000"/>
          <w:sz w:val="24"/>
          <w:szCs w:val="24"/>
          <w:lang w:val="en" w:eastAsia="en-GB"/>
        </w:rPr>
        <w:t>  per</w:t>
      </w:r>
      <w:proofErr w:type="gramEnd"/>
      <w:r w:rsidRPr="00FC71A7">
        <w:rPr>
          <w:rFonts w:ascii="Arial" w:eastAsia="Times New Roman" w:hAnsi="Arial" w:cs="Arial"/>
          <w:color w:val="000000"/>
          <w:sz w:val="24"/>
          <w:szCs w:val="24"/>
          <w:lang w:val="en" w:eastAsia="en-GB"/>
        </w:rPr>
        <w:t xml:space="preserve"> cent of their proper complement. Desertion and even worse forms of dissent soon spread to drafts travelling directly from Germany. Troops delayed their departure by refusing to embark, by rioting and by </w:t>
      </w:r>
      <w:proofErr w:type="spellStart"/>
      <w:r w:rsidRPr="00FC71A7">
        <w:rPr>
          <w:rFonts w:ascii="Arial" w:eastAsia="Times New Roman" w:hAnsi="Arial" w:cs="Arial"/>
          <w:color w:val="000000"/>
          <w:sz w:val="24"/>
          <w:szCs w:val="24"/>
          <w:lang w:val="en" w:eastAsia="en-GB"/>
        </w:rPr>
        <w:t>vandalising</w:t>
      </w:r>
      <w:proofErr w:type="spellEnd"/>
      <w:r w:rsidRPr="00FC71A7">
        <w:rPr>
          <w:rFonts w:ascii="Arial" w:eastAsia="Times New Roman" w:hAnsi="Arial" w:cs="Arial"/>
          <w:color w:val="000000"/>
          <w:sz w:val="24"/>
          <w:szCs w:val="24"/>
          <w:lang w:val="en" w:eastAsia="en-GB"/>
        </w:rPr>
        <w:t xml:space="preserve"> stations. Once underway, they activated their trains’ emergency brakes and, during halts, uncoupled their wagons from the locomotive. Officers were assaulted and, in one especially serious incident, a draft of 500 soldiers opened fire on a railway platform and eighty of them deserted. Ludendorff later suggested that young recruits had been radicalized in Germany, poisoning the army with the home front’s treachery. The presence among them of disaffected ex-munitions workers, conscripted as punishment for striking, and old, often unfit soldiers dredged from sedentary occupations for service at the front cannot have helped. Yet, given that morale in home training units had in fact been reasonably good until quite late in the war, it seems more likely that veterans – soldiers who had already served on the Eastern Front, ex-prisoners of war from Russia and wounded soldiers </w:t>
      </w:r>
      <w:proofErr w:type="gramStart"/>
      <w:r w:rsidRPr="00FC71A7">
        <w:rPr>
          <w:rFonts w:ascii="Arial" w:eastAsia="Times New Roman" w:hAnsi="Arial" w:cs="Arial"/>
          <w:color w:val="000000"/>
          <w:sz w:val="24"/>
          <w:szCs w:val="24"/>
          <w:lang w:val="en" w:eastAsia="en-GB"/>
        </w:rPr>
        <w:t>from</w:t>
      </w:r>
      <w:proofErr w:type="gramEnd"/>
      <w:r w:rsidRPr="00FC71A7">
        <w:rPr>
          <w:rFonts w:ascii="Arial" w:eastAsia="Times New Roman" w:hAnsi="Arial" w:cs="Arial"/>
          <w:color w:val="000000"/>
          <w:sz w:val="24"/>
          <w:szCs w:val="24"/>
          <w:lang w:val="en" w:eastAsia="en-GB"/>
        </w:rPr>
        <w:t xml:space="preserve"> Ludendorff’s supposedly loyal Field Army returning reluctantly from hospital to the front – were the ringleaders in these disturbances.</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Vulnerably positioned, starved of manpower, demoralized and by this time also in the grip of an influenza epidemic, the German army was ill-prepared to repel the sudden and ferocious counter-attack launched by the French, British and Americans at the Marne on July 18th. The initial surprise assault, spearheaded by massed tank formations and supported by over 2,000 guns, advanced up to five miles and captured 12,000 prisoners, stopping the Germans’ own Rheims offensive and decisively returning the initiative to the Allies. Strategically, as the Army Group Commander, Crown Prince </w:t>
      </w:r>
      <w:proofErr w:type="spellStart"/>
      <w:r w:rsidRPr="00FC71A7">
        <w:rPr>
          <w:rFonts w:ascii="Arial" w:eastAsia="Times New Roman" w:hAnsi="Arial" w:cs="Arial"/>
          <w:color w:val="000000"/>
          <w:sz w:val="24"/>
          <w:szCs w:val="24"/>
          <w:lang w:val="en" w:eastAsia="en-GB"/>
        </w:rPr>
        <w:t>Rupprecht</w:t>
      </w:r>
      <w:proofErr w:type="spellEnd"/>
      <w:r w:rsidRPr="00FC71A7">
        <w:rPr>
          <w:rFonts w:ascii="Arial" w:eastAsia="Times New Roman" w:hAnsi="Arial" w:cs="Arial"/>
          <w:color w:val="000000"/>
          <w:sz w:val="24"/>
          <w:szCs w:val="24"/>
          <w:lang w:val="en" w:eastAsia="en-GB"/>
        </w:rPr>
        <w:t>, recognized, it was ‘a turning point of the war’.  Ludendorff, too, was shaken, but at first reluctant to concede that the German army must now stand on the defensive. This realization, however, was forced on him by the success of the Allies’ next major attack outside Amiens on August 8th, where his Second Army was surprised by the British Fourth and French First Armies, supported by 3,700 guns and more than 500 tanks. In this attack, the Allies advanced up to eight miles and captured 18,000 prisoners in what Ludendorff later famously described as ‘the black day of the German army in the history of this war’. Particularly disturbing was not merely the scale of defeat, but the low morale evinced by the troops which had made it possible. Ludendorff wrote:</w:t>
      </w:r>
    </w:p>
    <w:p w:rsidR="00FC71A7" w:rsidRPr="00FC71A7" w:rsidRDefault="00FC71A7" w:rsidP="00FC71A7">
      <w:pPr>
        <w:spacing w:after="120" w:line="240" w:lineRule="auto"/>
        <w:rPr>
          <w:rFonts w:ascii="Georgia" w:eastAsia="Times New Roman" w:hAnsi="Georgia" w:cs="Arial"/>
          <w:i/>
          <w:iCs/>
          <w:color w:val="000000"/>
          <w:sz w:val="24"/>
          <w:szCs w:val="24"/>
          <w:lang w:val="en" w:eastAsia="en-GB"/>
        </w:rPr>
      </w:pPr>
      <w:r w:rsidRPr="00FC71A7">
        <w:rPr>
          <w:rFonts w:ascii="Georgia" w:eastAsia="Times New Roman" w:hAnsi="Georgia" w:cs="Arial"/>
          <w:i/>
          <w:iCs/>
          <w:color w:val="000000"/>
          <w:sz w:val="24"/>
          <w:szCs w:val="24"/>
          <w:lang w:val="en" w:eastAsia="en-GB"/>
        </w:rPr>
        <w:t xml:space="preserve">I was told of </w:t>
      </w:r>
      <w:proofErr w:type="spellStart"/>
      <w:r w:rsidRPr="00FC71A7">
        <w:rPr>
          <w:rFonts w:ascii="Georgia" w:eastAsia="Times New Roman" w:hAnsi="Georgia" w:cs="Arial"/>
          <w:i/>
          <w:iCs/>
          <w:color w:val="000000"/>
          <w:sz w:val="24"/>
          <w:szCs w:val="24"/>
          <w:lang w:val="en" w:eastAsia="en-GB"/>
        </w:rPr>
        <w:t>behaviour</w:t>
      </w:r>
      <w:proofErr w:type="spellEnd"/>
      <w:r w:rsidRPr="00FC71A7">
        <w:rPr>
          <w:rFonts w:ascii="Georgia" w:eastAsia="Times New Roman" w:hAnsi="Georgia" w:cs="Arial"/>
          <w:i/>
          <w:iCs/>
          <w:color w:val="000000"/>
          <w:sz w:val="24"/>
          <w:szCs w:val="24"/>
          <w:lang w:val="en" w:eastAsia="en-GB"/>
        </w:rPr>
        <w:t xml:space="preserve"> which, I openly confess, I should not have thought possible in the German army; whole bodies of our men had surrendered to single troopers, or isolated squadrons. Retiring troops, meeting a fresh division going bravely into action, had shouted out things like ‘Blackleg’, and ‘You’re prolonging the war’.</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As he confided to one of his staff officers in the aftermath of the disaster, ‘our troops are more or less finished’.</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This judgement was amply confirmed throughout the second half of August and September as the Allies directed rolling attacks against different points of the German line. Faced with a well-trained enemy bolstered by enormous reserves of American manpower, abundant munitions, air superiority and a tank force against which they had no effective counter-measure, the morale of Ludendorff’s soldiers deteriorated still further. According to the postal censor of the German Fifth Army, fighting in the Argonne region, troops’ letters at the end of August were characterized by a ‘widespread war weariness, moroseness and depression’. By early September, soldiers of the Sixth Army further north had ‘come to terms [in their correspondence] with what for them is the plain fact: “We cannot win” and in some cases even add to this the view that Germany will inevitably be defeated’. The heavy fighting during these two months cost the Germans well over 400,000 casualties and, exacerbated by Ludendorff’s reluctance to retreat to a shorter defensive line, eroded the reserve of fresh divisions at the High Command’s disposal. Badly depleted, worn-out units were forced to remain in action for unprecedentedly long periods. According to one military psychiatrist, the army was driven to a severe condition of ‘neurasthenic exhaustion’. Crown Prince </w:t>
      </w:r>
      <w:proofErr w:type="spellStart"/>
      <w:r w:rsidRPr="00FC71A7">
        <w:rPr>
          <w:rFonts w:ascii="Arial" w:eastAsia="Times New Roman" w:hAnsi="Arial" w:cs="Arial"/>
          <w:color w:val="000000"/>
          <w:sz w:val="24"/>
          <w:szCs w:val="24"/>
          <w:lang w:val="en" w:eastAsia="en-GB"/>
        </w:rPr>
        <w:t>Rupprecht</w:t>
      </w:r>
      <w:proofErr w:type="spellEnd"/>
      <w:r w:rsidRPr="00FC71A7">
        <w:rPr>
          <w:rFonts w:ascii="Arial" w:eastAsia="Times New Roman" w:hAnsi="Arial" w:cs="Arial"/>
          <w:color w:val="000000"/>
          <w:sz w:val="24"/>
          <w:szCs w:val="24"/>
          <w:lang w:val="en" w:eastAsia="en-GB"/>
        </w:rPr>
        <w:t xml:space="preserve"> recorded how, in early September, one overstrained battalion had fled at the cry, ‘the English are coming’. At the end of the month, the commander of Third Army, Lieutenant General von </w:t>
      </w:r>
      <w:proofErr w:type="spellStart"/>
      <w:r w:rsidRPr="00FC71A7">
        <w:rPr>
          <w:rFonts w:ascii="Arial" w:eastAsia="Times New Roman" w:hAnsi="Arial" w:cs="Arial"/>
          <w:color w:val="000000"/>
          <w:sz w:val="24"/>
          <w:szCs w:val="24"/>
          <w:lang w:val="en" w:eastAsia="en-GB"/>
        </w:rPr>
        <w:t>Einem</w:t>
      </w:r>
      <w:proofErr w:type="spellEnd"/>
      <w:r w:rsidRPr="00FC71A7">
        <w:rPr>
          <w:rFonts w:ascii="Arial" w:eastAsia="Times New Roman" w:hAnsi="Arial" w:cs="Arial"/>
          <w:color w:val="000000"/>
          <w:sz w:val="24"/>
          <w:szCs w:val="24"/>
          <w:lang w:val="en" w:eastAsia="en-GB"/>
        </w:rPr>
        <w:t>, similarly noted with disgust how a whole division had run when attacked. </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It was not panic on the battlefield that caused German commanders most anxiety during these critical months, however; nor, indeed, was it indiscipline, which actually declined at the front from its highpoint in the early summer. Soldiers were so fatigued at this point that desertion and mutiny appear to have been largely unthinkable. As one man wrote home in September: ‘Humanity is so </w:t>
      </w:r>
      <w:proofErr w:type="spellStart"/>
      <w:r w:rsidRPr="00FC71A7">
        <w:rPr>
          <w:rFonts w:ascii="Arial" w:eastAsia="Times New Roman" w:hAnsi="Arial" w:cs="Arial"/>
          <w:color w:val="000000"/>
          <w:sz w:val="24"/>
          <w:szCs w:val="24"/>
          <w:lang w:val="en" w:eastAsia="en-GB"/>
        </w:rPr>
        <w:t>zombified</w:t>
      </w:r>
      <w:proofErr w:type="spellEnd"/>
      <w:r w:rsidRPr="00FC71A7">
        <w:rPr>
          <w:rFonts w:ascii="Arial" w:eastAsia="Times New Roman" w:hAnsi="Arial" w:cs="Arial"/>
          <w:color w:val="000000"/>
          <w:sz w:val="24"/>
          <w:szCs w:val="24"/>
          <w:lang w:val="en" w:eastAsia="en-GB"/>
        </w:rPr>
        <w:t xml:space="preserve">, smitten and suppressed by the war that it feels too weak to do anything against it.’ The principal threat to Ludendorff’s army, and a key reason for the success of the Allied advance, lay in the propensity of German troops to surrender. Whereas during the nearly four years of war before the start of their counteroffensive in July 1918, the western Allies captured a total of 327,000 Germans, on average just under 7,000 per month, during August and September 1918 alone they took 233,200 prisoners. By the armistice no fewer than 385,000 Germans had surrendered since the first French-led counter-attack on the Marne. These losses were critical to the army, vastly outnumbering those killed (21,816 men in August and 16,240 during the first three weeks of September) or wounded (101,000 and 74,000 for the same periods). By the beginning of September, many battalions, officially 880 men strong, were down to 400 or even forty. Unsurprisingly, this created enormous concern among senior officers: ‘I can look into the future only with worry’, wrote von </w:t>
      </w:r>
      <w:proofErr w:type="spellStart"/>
      <w:r w:rsidRPr="00FC71A7">
        <w:rPr>
          <w:rFonts w:ascii="Arial" w:eastAsia="Times New Roman" w:hAnsi="Arial" w:cs="Arial"/>
          <w:color w:val="000000"/>
          <w:sz w:val="24"/>
          <w:szCs w:val="24"/>
          <w:lang w:val="en" w:eastAsia="en-GB"/>
        </w:rPr>
        <w:t>Einem</w:t>
      </w:r>
      <w:proofErr w:type="spellEnd"/>
      <w:r w:rsidRPr="00FC71A7">
        <w:rPr>
          <w:rFonts w:ascii="Arial" w:eastAsia="Times New Roman" w:hAnsi="Arial" w:cs="Arial"/>
          <w:color w:val="000000"/>
          <w:sz w:val="24"/>
          <w:szCs w:val="24"/>
          <w:lang w:val="en" w:eastAsia="en-GB"/>
        </w:rPr>
        <w:t>, for example, in mid-September. ‘No war is to be won with men who give themselves up as prisoners.’</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The vast increase in the number of Germans surrendering from July 1918 was partially the result of Allied material superiority and improved assault tactics. As one German divisional commander, whose unit had surrendered </w:t>
      </w:r>
      <w:proofErr w:type="spellStart"/>
      <w:r w:rsidRPr="00FC71A7">
        <w:rPr>
          <w:rFonts w:ascii="Arial" w:eastAsia="Times New Roman" w:hAnsi="Arial" w:cs="Arial"/>
          <w:color w:val="000000"/>
          <w:sz w:val="24"/>
          <w:szCs w:val="24"/>
          <w:lang w:val="en" w:eastAsia="en-GB"/>
        </w:rPr>
        <w:t>en</w:t>
      </w:r>
      <w:proofErr w:type="spellEnd"/>
      <w:r w:rsidRPr="00FC71A7">
        <w:rPr>
          <w:rFonts w:ascii="Arial" w:eastAsia="Times New Roman" w:hAnsi="Arial" w:cs="Arial"/>
          <w:color w:val="000000"/>
          <w:sz w:val="24"/>
          <w:szCs w:val="24"/>
          <w:lang w:val="en" w:eastAsia="en-GB"/>
        </w:rPr>
        <w:t xml:space="preserve"> masse to the British north of St. Quentin at the beginning of October, </w:t>
      </w:r>
      <w:proofErr w:type="gramStart"/>
      <w:r w:rsidRPr="00FC71A7">
        <w:rPr>
          <w:rFonts w:ascii="Arial" w:eastAsia="Times New Roman" w:hAnsi="Arial" w:cs="Arial"/>
          <w:color w:val="000000"/>
          <w:sz w:val="24"/>
          <w:szCs w:val="24"/>
          <w:lang w:val="en" w:eastAsia="en-GB"/>
        </w:rPr>
        <w:t>observed:</w:t>
      </w:r>
      <w:proofErr w:type="gramEnd"/>
    </w:p>
    <w:p w:rsidR="00FC71A7" w:rsidRPr="00FC71A7" w:rsidRDefault="00FC71A7" w:rsidP="00FC71A7">
      <w:pPr>
        <w:spacing w:after="120" w:line="240" w:lineRule="auto"/>
        <w:rPr>
          <w:rFonts w:ascii="Georgia" w:eastAsia="Times New Roman" w:hAnsi="Georgia" w:cs="Arial"/>
          <w:i/>
          <w:iCs/>
          <w:color w:val="000000"/>
          <w:sz w:val="24"/>
          <w:szCs w:val="24"/>
          <w:lang w:val="en" w:eastAsia="en-GB"/>
        </w:rPr>
      </w:pPr>
      <w:r w:rsidRPr="00FC71A7">
        <w:rPr>
          <w:rFonts w:ascii="Georgia" w:eastAsia="Times New Roman" w:hAnsi="Georgia" w:cs="Arial"/>
          <w:i/>
          <w:iCs/>
          <w:color w:val="000000"/>
          <w:sz w:val="24"/>
          <w:szCs w:val="24"/>
          <w:lang w:val="en" w:eastAsia="en-GB"/>
        </w:rPr>
        <w:t>In a major enemy attack with a dense swathe of fire, mass deployment of storm infantry with tanks and smoke screening, our own forward infantry mostly almost totally becomes the booty of the enemy, if, as it were, with one jump the enemy can penetrate our forward infantry.</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Any advance further increased the number of prisoners falling into Allied hands, as defenders were cut off and encircled, leaving them little choice but to surrender. Propaganda may also have helped: in the months of May to July alone, four million leaflets encouraging men to give up the fight were dropped over German lines. Certainly, it is clear that many troops welcomed and were even planning their captivity. The German Fifth Army’s postal censor observed at the end of August that letters indicating intentions to desert to the enemy had multiplied to ‘a frightening level’. Very often, according to Allied military intelligence reports, German infantry, and sometimes even élite machine-gunners, preferred to remain in their dugouts rather than come out into the trenches to fight. Their readiness to surrender could be shockingly forthright: men of the Second Guards Division, captured by the British at the beginning of September, not only expressed joy at their imprisonment but actually encouraged their captors to keep attacking so that the war would come to an end more quickly.</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The decisive factor in turning surrender into a mass phenomenon during the second half of 1918 was nonetheless not troops’ demoralization but rather the exhaustion and depression within the group comprising the linchpin of the German army’s disciplinary system: its junior officer corps. The Allied counter-offensive was, as Lieutenant Müller remarked with understatement, ‘a difficult time for every patriotic man’. Another contemporary, an instructor on a machine-gun course, described his officer-pupils as ‘mentally broken’ by the failure of Ludendorff’s offensives and the subsequent retreat. A review of officers’ correspondence in the Seventeenth Army in early September found that most believed that the war could not last beyond the late autumn or winter. Ludendorff was aware that the army’s junior leaders were not stopping the capitulations. In his memoirs, he claimed that ‘the officers in many places had lost their influence and allowed themselves to be swept along with the rest’. Certainly, numerous complaints from divisional commanders suggest that the replacement officers arriving at the front in the summer and autumn of 1918 were not of the same </w:t>
      </w:r>
      <w:proofErr w:type="spellStart"/>
      <w:r w:rsidRPr="00FC71A7">
        <w:rPr>
          <w:rFonts w:ascii="Arial" w:eastAsia="Times New Roman" w:hAnsi="Arial" w:cs="Arial"/>
          <w:color w:val="000000"/>
          <w:sz w:val="24"/>
          <w:szCs w:val="24"/>
          <w:lang w:val="en" w:eastAsia="en-GB"/>
        </w:rPr>
        <w:t>calibre</w:t>
      </w:r>
      <w:proofErr w:type="spellEnd"/>
      <w:r w:rsidRPr="00FC71A7">
        <w:rPr>
          <w:rFonts w:ascii="Arial" w:eastAsia="Times New Roman" w:hAnsi="Arial" w:cs="Arial"/>
          <w:color w:val="000000"/>
          <w:sz w:val="24"/>
          <w:szCs w:val="24"/>
          <w:lang w:val="en" w:eastAsia="en-GB"/>
        </w:rPr>
        <w:t xml:space="preserve"> as the junior leaders killed and wounded in the German offensives.  Yet British military intelligence was certain that they retained control over their subordinates: ‘the officers’ word “MUST” is still the driving force’ asserted one report based on interviews with captured prisoners in late September. The punishment for desertion to the enemy was especially draconian: death on return to Germany, loss of citizenship and the confiscation of all property and belongings.</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In fact, the scant evidence of indiscipline at the front and the large number of officer prisoners taken in the counter-offensive – the British alone captured over 4,700 – indicate that capitulations during the second half of 1918 did not generally take place against the wishes of frontline officers, but were frequently organized and led by them. It was not uncommon, as the dispatches of the British war correspondent, Phillip Gibbs, testify, to see whole units following their officers into captivity and to meet junior leaders who confirmed that they had ordered or advised their troops to surrender. Many thought that there was little sense in wasting men’s lives in the face of the Allies’ vastly superior </w:t>
      </w:r>
      <w:proofErr w:type="spellStart"/>
      <w:r w:rsidRPr="00FC71A7">
        <w:rPr>
          <w:rFonts w:ascii="Arial" w:eastAsia="Times New Roman" w:hAnsi="Arial" w:cs="Arial"/>
          <w:color w:val="000000"/>
          <w:sz w:val="24"/>
          <w:szCs w:val="24"/>
          <w:lang w:val="en" w:eastAsia="en-GB"/>
        </w:rPr>
        <w:t>armoured</w:t>
      </w:r>
      <w:proofErr w:type="spellEnd"/>
      <w:r w:rsidRPr="00FC71A7">
        <w:rPr>
          <w:rFonts w:ascii="Arial" w:eastAsia="Times New Roman" w:hAnsi="Arial" w:cs="Arial"/>
          <w:color w:val="000000"/>
          <w:sz w:val="24"/>
          <w:szCs w:val="24"/>
          <w:lang w:val="en" w:eastAsia="en-GB"/>
        </w:rPr>
        <w:t xml:space="preserve"> forces: ‘The German regimental officer’, remembered Major General J.F.C. Fuller, then a staff officer in the newly formed Tank branch at the War Office, ‘came to consider that the presence of tanks was a sufficient reason for the loss of any position’. They justified their capitulations by stating that ‘the tanks had arrived, there was nothing to be done’. By the autumn of 1918, however, officers’ morale was so low and Germany’s strategic outlook so grim that not all waited for an attack before submitting. One platoon commander, for example, actually crossed over to British lines, surrendered and then requested permission to return to his own trenches in order to fetch his men, who also wished to give themselves up. The readiness of such junior leaders to capitulate explains why the number of prisoners captured became so enormous: whereas an ordinary soldier might at most persuade a handful of comrades to surrender with him, officers possessed the authority to order large groups to lay down their arms. The spread of the psychological crisis to these frontline commanders was thus devastating for the German army.</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It was not long before the paralyzing crisis of morale among the German army’s soldiers and junior officers at the front also affected their commander. Ludendorff had already been unnerved by the initial Allied advances. As pressure mounted during August, he swung wildly from extreme optimism to equally extreme pessimism. So erratic did his </w:t>
      </w:r>
      <w:proofErr w:type="spellStart"/>
      <w:r w:rsidRPr="00FC71A7">
        <w:rPr>
          <w:rFonts w:ascii="Arial" w:eastAsia="Times New Roman" w:hAnsi="Arial" w:cs="Arial"/>
          <w:color w:val="000000"/>
          <w:sz w:val="24"/>
          <w:szCs w:val="24"/>
          <w:lang w:val="en" w:eastAsia="en-GB"/>
        </w:rPr>
        <w:t>behaviour</w:t>
      </w:r>
      <w:proofErr w:type="spellEnd"/>
      <w:r w:rsidRPr="00FC71A7">
        <w:rPr>
          <w:rFonts w:ascii="Arial" w:eastAsia="Times New Roman" w:hAnsi="Arial" w:cs="Arial"/>
          <w:color w:val="000000"/>
          <w:sz w:val="24"/>
          <w:szCs w:val="24"/>
          <w:lang w:val="en" w:eastAsia="en-GB"/>
        </w:rPr>
        <w:t xml:space="preserve"> become that at the beginning of September he was treated by a psychiatrist, who encouraged him to rest, take strolls and sing folk songs on waking. This advice failed to stop his impending mental collapse. On September 28th, two days after the Allies launched a general offensive all along the German line, Ludendorff broke down, foaming at the mouth and ranting so loudly that his staff shut him in his room. At 6 pm, he descended the stairs to Hindenburg’s office and told the Field Marshal that an armistice must be organized immediately. Contrary to his later excuse that news of Bulgaria’s armistice principally prompted this decision, Ludendorff’s speech made at the German General Headquarters in Spa on October 1st leaves no doubt that the armistice was required because of the state of his own troops on the Western Front. He was desperately afraid that his army would collapse completely and flood back over the Rhine, leading to revolution in Germany. ‘No reliance can be placed on the troops any longer’, he told his staff officers. ‘Since August 8th, it has rapidly gone downhill. Continually, units have proved themselves so unreliable that they have hurriedly had to be withdrawn from the front.’ As a result, he informed those present, ‘the High Command and the German army are finished. The war is not only no longer to be won; rather, final defeat certainly stands before us’.</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Yet, though the army lost the war, the blame for the peace fell on civilians. At the High Command’s insistence, the request for an immediate armistice was dispatched to President Wilson on the night of October 3rd/4th by Germany’s new parliamentary government, called to office in the hope that such a gesture towards democracy might forestall unrest at home and encourage the Allies to grant lenient terms. When it became clear, however, in mid-October that no easy peace would be forthcoming, Ludendorff </w:t>
      </w:r>
      <w:proofErr w:type="spellStart"/>
      <w:r w:rsidRPr="00FC71A7">
        <w:rPr>
          <w:rFonts w:ascii="Arial" w:eastAsia="Times New Roman" w:hAnsi="Arial" w:cs="Arial"/>
          <w:color w:val="000000"/>
          <w:sz w:val="24"/>
          <w:szCs w:val="24"/>
          <w:lang w:val="en" w:eastAsia="en-GB"/>
        </w:rPr>
        <w:t>dishonourably</w:t>
      </w:r>
      <w:proofErr w:type="spellEnd"/>
      <w:r w:rsidRPr="00FC71A7">
        <w:rPr>
          <w:rFonts w:ascii="Arial" w:eastAsia="Times New Roman" w:hAnsi="Arial" w:cs="Arial"/>
          <w:color w:val="000000"/>
          <w:sz w:val="24"/>
          <w:szCs w:val="24"/>
          <w:lang w:val="en" w:eastAsia="en-GB"/>
        </w:rPr>
        <w:t xml:space="preserve"> disowned the negotiations and self-servingly argued that better terms could be won by fighting on into 1919.</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The High Command’s cowardice in refusing to take public responsibility for defeat was matched by the unrealism of the Imperial Navy, which at the end of October ordered its battleships out on a last, suicidal mission against the British. It was left to the Home Front to put a stop to further pointless bloodshed. A mutiny in the fleet developed into national revolution in early November, forcing the Kaiser’s abdication and hastening the conclusion of armistice negotiations.</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Arial" w:eastAsia="Times New Roman" w:hAnsi="Arial" w:cs="Arial"/>
          <w:color w:val="000000"/>
          <w:sz w:val="24"/>
          <w:szCs w:val="24"/>
          <w:lang w:val="en" w:eastAsia="en-GB"/>
        </w:rPr>
        <w:t xml:space="preserve">The cost of this pragmatism was high, however. The shame of capitulation discredited Germany’s </w:t>
      </w:r>
      <w:proofErr w:type="spellStart"/>
      <w:r w:rsidRPr="00FC71A7">
        <w:rPr>
          <w:rFonts w:ascii="Arial" w:eastAsia="Times New Roman" w:hAnsi="Arial" w:cs="Arial"/>
          <w:color w:val="000000"/>
          <w:sz w:val="24"/>
          <w:szCs w:val="24"/>
          <w:lang w:val="en" w:eastAsia="en-GB"/>
        </w:rPr>
        <w:t>fledgeling</w:t>
      </w:r>
      <w:proofErr w:type="spellEnd"/>
      <w:r w:rsidRPr="00FC71A7">
        <w:rPr>
          <w:rFonts w:ascii="Arial" w:eastAsia="Times New Roman" w:hAnsi="Arial" w:cs="Arial"/>
          <w:color w:val="000000"/>
          <w:sz w:val="24"/>
          <w:szCs w:val="24"/>
          <w:lang w:val="en" w:eastAsia="en-GB"/>
        </w:rPr>
        <w:t xml:space="preserve"> democracy, while the physical turmoil at home in the last days of the war obscured the army’s psychological collapse and left intact the myth of Prussian military invincibility. As a result, after the guns fell silent in 1918, the subsequent ‘peace’ proved to be only temporary.</w:t>
      </w:r>
    </w:p>
    <w:p w:rsidR="00FC71A7" w:rsidRPr="00FC71A7" w:rsidRDefault="00FC71A7" w:rsidP="00FC71A7">
      <w:pPr>
        <w:spacing w:after="210" w:line="240" w:lineRule="auto"/>
        <w:rPr>
          <w:rFonts w:ascii="Arial" w:eastAsia="Times New Roman" w:hAnsi="Arial" w:cs="Arial"/>
          <w:color w:val="000000"/>
          <w:sz w:val="24"/>
          <w:szCs w:val="24"/>
          <w:lang w:val="en" w:eastAsia="en-GB"/>
        </w:rPr>
      </w:pPr>
      <w:r w:rsidRPr="00FC71A7">
        <w:rPr>
          <w:rFonts w:ascii="Helvetica" w:eastAsia="Times New Roman" w:hAnsi="Helvetica" w:cs="Helvetica"/>
          <w:b/>
          <w:bCs/>
          <w:color w:val="000000"/>
          <w:sz w:val="24"/>
          <w:szCs w:val="24"/>
          <w:lang w:val="en" w:eastAsia="en-GB"/>
        </w:rPr>
        <w:t>Further Reading</w:t>
      </w:r>
      <w:r w:rsidRPr="00FC71A7">
        <w:rPr>
          <w:rFonts w:ascii="Arial" w:eastAsia="Times New Roman" w:hAnsi="Arial" w:cs="Arial"/>
          <w:color w:val="000000"/>
          <w:sz w:val="24"/>
          <w:szCs w:val="24"/>
          <w:lang w:val="en" w:eastAsia="en-GB"/>
        </w:rPr>
        <w:br/>
        <w:t> </w:t>
      </w:r>
      <w:r w:rsidRPr="00FC71A7">
        <w:rPr>
          <w:rFonts w:ascii="Arial" w:eastAsia="Times New Roman" w:hAnsi="Arial" w:cs="Arial"/>
          <w:color w:val="000000"/>
          <w:sz w:val="24"/>
          <w:szCs w:val="24"/>
          <w:lang w:val="en" w:eastAsia="en-GB"/>
        </w:rPr>
        <w:br/>
        <w:t xml:space="preserve">Robert B. </w:t>
      </w:r>
      <w:proofErr w:type="spellStart"/>
      <w:r w:rsidRPr="00FC71A7">
        <w:rPr>
          <w:rFonts w:ascii="Arial" w:eastAsia="Times New Roman" w:hAnsi="Arial" w:cs="Arial"/>
          <w:color w:val="000000"/>
          <w:sz w:val="24"/>
          <w:szCs w:val="24"/>
          <w:lang w:val="en" w:eastAsia="en-GB"/>
        </w:rPr>
        <w:t>Asprey</w:t>
      </w:r>
      <w:proofErr w:type="spellEnd"/>
      <w:r w:rsidRPr="00FC71A7">
        <w:rPr>
          <w:rFonts w:ascii="Arial" w:eastAsia="Times New Roman" w:hAnsi="Arial" w:cs="Arial"/>
          <w:color w:val="000000"/>
          <w:sz w:val="24"/>
          <w:szCs w:val="24"/>
          <w:lang w:val="en" w:eastAsia="en-GB"/>
        </w:rPr>
        <w:t>, The German High Command at War: Hindenburg and Ludendorff Conduct World War I (William Morrow, 1991); Wilhelm Deist, ‘The Military Collapse of the German Empire: The Reality Behind the Stab-in-the-Back Myth’, War in History, Vol 3 (1996), pp 186-207; Niall Ferguson, The Pity of War (Allen Lane, 1998); J.P. Harris, Amiens to the Armistice: the BEF in the Hundred Days’ Campaign, 8 August-11 November 1918 (</w:t>
      </w:r>
      <w:proofErr w:type="spellStart"/>
      <w:r w:rsidRPr="00FC71A7">
        <w:rPr>
          <w:rFonts w:ascii="Arial" w:eastAsia="Times New Roman" w:hAnsi="Arial" w:cs="Arial"/>
          <w:color w:val="000000"/>
          <w:sz w:val="24"/>
          <w:szCs w:val="24"/>
          <w:lang w:val="en" w:eastAsia="en-GB"/>
        </w:rPr>
        <w:t>Brassey’s</w:t>
      </w:r>
      <w:proofErr w:type="spellEnd"/>
      <w:r w:rsidRPr="00FC71A7">
        <w:rPr>
          <w:rFonts w:ascii="Arial" w:eastAsia="Times New Roman" w:hAnsi="Arial" w:cs="Arial"/>
          <w:color w:val="000000"/>
          <w:sz w:val="24"/>
          <w:szCs w:val="24"/>
          <w:lang w:val="en" w:eastAsia="en-GB"/>
        </w:rPr>
        <w:t xml:space="preserve">, 1998); Holger H. Herwig, The First World War: Germany and Austria-Hungary 1914-1918 (Arnold, 1997); Christoph </w:t>
      </w:r>
      <w:proofErr w:type="spellStart"/>
      <w:r w:rsidRPr="00FC71A7">
        <w:rPr>
          <w:rFonts w:ascii="Arial" w:eastAsia="Times New Roman" w:hAnsi="Arial" w:cs="Arial"/>
          <w:color w:val="000000"/>
          <w:sz w:val="24"/>
          <w:szCs w:val="24"/>
          <w:lang w:val="en" w:eastAsia="en-GB"/>
        </w:rPr>
        <w:t>Jahr</w:t>
      </w:r>
      <w:proofErr w:type="spellEnd"/>
      <w:r w:rsidRPr="00FC71A7">
        <w:rPr>
          <w:rFonts w:ascii="Arial" w:eastAsia="Times New Roman" w:hAnsi="Arial" w:cs="Arial"/>
          <w:color w:val="000000"/>
          <w:sz w:val="24"/>
          <w:szCs w:val="24"/>
          <w:lang w:val="en" w:eastAsia="en-GB"/>
        </w:rPr>
        <w:t xml:space="preserve">, </w:t>
      </w:r>
      <w:proofErr w:type="spellStart"/>
      <w:r w:rsidRPr="00FC71A7">
        <w:rPr>
          <w:rFonts w:ascii="Arial" w:eastAsia="Times New Roman" w:hAnsi="Arial" w:cs="Arial"/>
          <w:color w:val="000000"/>
          <w:sz w:val="24"/>
          <w:szCs w:val="24"/>
          <w:lang w:val="en" w:eastAsia="en-GB"/>
        </w:rPr>
        <w:t>Gewöhnliche</w:t>
      </w:r>
      <w:proofErr w:type="spellEnd"/>
      <w:r w:rsidRPr="00FC71A7">
        <w:rPr>
          <w:rFonts w:ascii="Arial" w:eastAsia="Times New Roman" w:hAnsi="Arial" w:cs="Arial"/>
          <w:color w:val="000000"/>
          <w:sz w:val="24"/>
          <w:szCs w:val="24"/>
          <w:lang w:val="en" w:eastAsia="en-GB"/>
        </w:rPr>
        <w:t xml:space="preserve"> </w:t>
      </w:r>
      <w:proofErr w:type="spellStart"/>
      <w:r w:rsidRPr="00FC71A7">
        <w:rPr>
          <w:rFonts w:ascii="Arial" w:eastAsia="Times New Roman" w:hAnsi="Arial" w:cs="Arial"/>
          <w:color w:val="000000"/>
          <w:sz w:val="24"/>
          <w:szCs w:val="24"/>
          <w:lang w:val="en" w:eastAsia="en-GB"/>
        </w:rPr>
        <w:t>Soldaten</w:t>
      </w:r>
      <w:proofErr w:type="spellEnd"/>
      <w:r w:rsidRPr="00FC71A7">
        <w:rPr>
          <w:rFonts w:ascii="Arial" w:eastAsia="Times New Roman" w:hAnsi="Arial" w:cs="Arial"/>
          <w:color w:val="000000"/>
          <w:sz w:val="24"/>
          <w:szCs w:val="24"/>
          <w:lang w:val="en" w:eastAsia="en-GB"/>
        </w:rPr>
        <w:t xml:space="preserve">:  Desertion und </w:t>
      </w:r>
      <w:proofErr w:type="spellStart"/>
      <w:r w:rsidRPr="00FC71A7">
        <w:rPr>
          <w:rFonts w:ascii="Arial" w:eastAsia="Times New Roman" w:hAnsi="Arial" w:cs="Arial"/>
          <w:color w:val="000000"/>
          <w:sz w:val="24"/>
          <w:szCs w:val="24"/>
          <w:lang w:val="en" w:eastAsia="en-GB"/>
        </w:rPr>
        <w:t>Deserteure</w:t>
      </w:r>
      <w:proofErr w:type="spellEnd"/>
      <w:r w:rsidRPr="00FC71A7">
        <w:rPr>
          <w:rFonts w:ascii="Arial" w:eastAsia="Times New Roman" w:hAnsi="Arial" w:cs="Arial"/>
          <w:color w:val="000000"/>
          <w:sz w:val="24"/>
          <w:szCs w:val="24"/>
          <w:lang w:val="en" w:eastAsia="en-GB"/>
        </w:rPr>
        <w:t xml:space="preserve"> </w:t>
      </w:r>
      <w:proofErr w:type="spellStart"/>
      <w:r w:rsidRPr="00FC71A7">
        <w:rPr>
          <w:rFonts w:ascii="Arial" w:eastAsia="Times New Roman" w:hAnsi="Arial" w:cs="Arial"/>
          <w:color w:val="000000"/>
          <w:sz w:val="24"/>
          <w:szCs w:val="24"/>
          <w:lang w:val="en" w:eastAsia="en-GB"/>
        </w:rPr>
        <w:t>im</w:t>
      </w:r>
      <w:proofErr w:type="spellEnd"/>
      <w:r w:rsidRPr="00FC71A7">
        <w:rPr>
          <w:rFonts w:ascii="Arial" w:eastAsia="Times New Roman" w:hAnsi="Arial" w:cs="Arial"/>
          <w:color w:val="000000"/>
          <w:sz w:val="24"/>
          <w:szCs w:val="24"/>
          <w:lang w:val="en" w:eastAsia="en-GB"/>
        </w:rPr>
        <w:t xml:space="preserve"> </w:t>
      </w:r>
      <w:proofErr w:type="spellStart"/>
      <w:r w:rsidRPr="00FC71A7">
        <w:rPr>
          <w:rFonts w:ascii="Arial" w:eastAsia="Times New Roman" w:hAnsi="Arial" w:cs="Arial"/>
          <w:color w:val="000000"/>
          <w:sz w:val="24"/>
          <w:szCs w:val="24"/>
          <w:lang w:val="en" w:eastAsia="en-GB"/>
        </w:rPr>
        <w:t>deutschen</w:t>
      </w:r>
      <w:proofErr w:type="spellEnd"/>
      <w:r w:rsidRPr="00FC71A7">
        <w:rPr>
          <w:rFonts w:ascii="Arial" w:eastAsia="Times New Roman" w:hAnsi="Arial" w:cs="Arial"/>
          <w:color w:val="000000"/>
          <w:sz w:val="24"/>
          <w:szCs w:val="24"/>
          <w:lang w:val="en" w:eastAsia="en-GB"/>
        </w:rPr>
        <w:t xml:space="preserve"> und </w:t>
      </w:r>
      <w:proofErr w:type="spellStart"/>
      <w:r w:rsidRPr="00FC71A7">
        <w:rPr>
          <w:rFonts w:ascii="Arial" w:eastAsia="Times New Roman" w:hAnsi="Arial" w:cs="Arial"/>
          <w:color w:val="000000"/>
          <w:sz w:val="24"/>
          <w:szCs w:val="24"/>
          <w:lang w:val="en" w:eastAsia="en-GB"/>
        </w:rPr>
        <w:t>britischen</w:t>
      </w:r>
      <w:proofErr w:type="spellEnd"/>
      <w:r w:rsidRPr="00FC71A7">
        <w:rPr>
          <w:rFonts w:ascii="Arial" w:eastAsia="Times New Roman" w:hAnsi="Arial" w:cs="Arial"/>
          <w:color w:val="000000"/>
          <w:sz w:val="24"/>
          <w:szCs w:val="24"/>
          <w:lang w:val="en" w:eastAsia="en-GB"/>
        </w:rPr>
        <w:t xml:space="preserve"> </w:t>
      </w:r>
      <w:proofErr w:type="spellStart"/>
      <w:r w:rsidRPr="00FC71A7">
        <w:rPr>
          <w:rFonts w:ascii="Arial" w:eastAsia="Times New Roman" w:hAnsi="Arial" w:cs="Arial"/>
          <w:color w:val="000000"/>
          <w:sz w:val="24"/>
          <w:szCs w:val="24"/>
          <w:lang w:val="en" w:eastAsia="en-GB"/>
        </w:rPr>
        <w:t>Heer</w:t>
      </w:r>
      <w:proofErr w:type="spellEnd"/>
      <w:r w:rsidRPr="00FC71A7">
        <w:rPr>
          <w:rFonts w:ascii="Arial" w:eastAsia="Times New Roman" w:hAnsi="Arial" w:cs="Arial"/>
          <w:color w:val="000000"/>
          <w:sz w:val="24"/>
          <w:szCs w:val="24"/>
          <w:lang w:val="en" w:eastAsia="en-GB"/>
        </w:rPr>
        <w:t xml:space="preserve"> 1914-1918 (</w:t>
      </w:r>
      <w:proofErr w:type="spellStart"/>
      <w:r w:rsidRPr="00FC71A7">
        <w:rPr>
          <w:rFonts w:ascii="Arial" w:eastAsia="Times New Roman" w:hAnsi="Arial" w:cs="Arial"/>
          <w:color w:val="000000"/>
          <w:sz w:val="24"/>
          <w:szCs w:val="24"/>
          <w:lang w:val="en" w:eastAsia="en-GB"/>
        </w:rPr>
        <w:t>Vandenhoeck</w:t>
      </w:r>
      <w:proofErr w:type="spellEnd"/>
      <w:r w:rsidRPr="00FC71A7">
        <w:rPr>
          <w:rFonts w:ascii="Arial" w:eastAsia="Times New Roman" w:hAnsi="Arial" w:cs="Arial"/>
          <w:color w:val="000000"/>
          <w:sz w:val="24"/>
          <w:szCs w:val="24"/>
          <w:lang w:val="en" w:eastAsia="en-GB"/>
        </w:rPr>
        <w:t xml:space="preserve"> &amp; </w:t>
      </w:r>
      <w:proofErr w:type="spellStart"/>
      <w:r w:rsidRPr="00FC71A7">
        <w:rPr>
          <w:rFonts w:ascii="Arial" w:eastAsia="Times New Roman" w:hAnsi="Arial" w:cs="Arial"/>
          <w:color w:val="000000"/>
          <w:sz w:val="24"/>
          <w:szCs w:val="24"/>
          <w:lang w:val="en" w:eastAsia="en-GB"/>
        </w:rPr>
        <w:t>Ruprecht</w:t>
      </w:r>
      <w:proofErr w:type="spellEnd"/>
      <w:r w:rsidRPr="00FC71A7">
        <w:rPr>
          <w:rFonts w:ascii="Arial" w:eastAsia="Times New Roman" w:hAnsi="Arial" w:cs="Arial"/>
          <w:color w:val="000000"/>
          <w:sz w:val="24"/>
          <w:szCs w:val="24"/>
          <w:lang w:val="en" w:eastAsia="en-GB"/>
        </w:rPr>
        <w:t>, 1998); Martin Kitchen, The German Offensives of 1918 (Tempus, 2001); Alexander Watson, Enduring the Great War: Combat, Morale and Collapse in the German and British Armies, 1914-1918 (Cambridge University Press, 2008).</w:t>
      </w:r>
    </w:p>
    <w:p w:rsidR="009015E5" w:rsidRDefault="009015E5"/>
    <w:sectPr w:rsidR="009015E5" w:rsidSect="00FC71A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1A7"/>
    <w:rsid w:val="009015E5"/>
    <w:rsid w:val="00FC71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49272"/>
  <w15:chartTrackingRefBased/>
  <w15:docId w15:val="{D058DCAB-A497-44E9-82D3-F6FD05841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71A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9018105">
      <w:bodyDiv w:val="1"/>
      <w:marLeft w:val="0"/>
      <w:marRight w:val="0"/>
      <w:marTop w:val="0"/>
      <w:marBottom w:val="0"/>
      <w:divBdr>
        <w:top w:val="none" w:sz="0" w:space="0" w:color="auto"/>
        <w:left w:val="none" w:sz="0" w:space="0" w:color="auto"/>
        <w:bottom w:val="none" w:sz="0" w:space="0" w:color="auto"/>
        <w:right w:val="none" w:sz="0" w:space="0" w:color="auto"/>
      </w:divBdr>
      <w:divsChild>
        <w:div w:id="466507187">
          <w:marLeft w:val="0"/>
          <w:marRight w:val="0"/>
          <w:marTop w:val="0"/>
          <w:marBottom w:val="0"/>
          <w:divBdr>
            <w:top w:val="none" w:sz="0" w:space="0" w:color="auto"/>
            <w:left w:val="none" w:sz="0" w:space="0" w:color="auto"/>
            <w:bottom w:val="none" w:sz="0" w:space="0" w:color="auto"/>
            <w:right w:val="none" w:sz="0" w:space="0" w:color="auto"/>
          </w:divBdr>
          <w:divsChild>
            <w:div w:id="1171220878">
              <w:marLeft w:val="0"/>
              <w:marRight w:val="0"/>
              <w:marTop w:val="0"/>
              <w:marBottom w:val="0"/>
              <w:divBdr>
                <w:top w:val="none" w:sz="0" w:space="0" w:color="auto"/>
                <w:left w:val="none" w:sz="0" w:space="0" w:color="auto"/>
                <w:bottom w:val="none" w:sz="0" w:space="0" w:color="auto"/>
                <w:right w:val="none" w:sz="0" w:space="0" w:color="auto"/>
              </w:divBdr>
              <w:divsChild>
                <w:div w:id="498081669">
                  <w:marLeft w:val="-150"/>
                  <w:marRight w:val="-150"/>
                  <w:marTop w:val="0"/>
                  <w:marBottom w:val="0"/>
                  <w:divBdr>
                    <w:top w:val="none" w:sz="0" w:space="0" w:color="auto"/>
                    <w:left w:val="none" w:sz="0" w:space="0" w:color="auto"/>
                    <w:bottom w:val="none" w:sz="0" w:space="0" w:color="auto"/>
                    <w:right w:val="none" w:sz="0" w:space="0" w:color="auto"/>
                  </w:divBdr>
                  <w:divsChild>
                    <w:div w:id="1208834188">
                      <w:marLeft w:val="0"/>
                      <w:marRight w:val="0"/>
                      <w:marTop w:val="0"/>
                      <w:marBottom w:val="0"/>
                      <w:divBdr>
                        <w:top w:val="none" w:sz="0" w:space="0" w:color="auto"/>
                        <w:left w:val="none" w:sz="0" w:space="0" w:color="auto"/>
                        <w:bottom w:val="none" w:sz="0" w:space="0" w:color="auto"/>
                        <w:right w:val="none" w:sz="0" w:space="0" w:color="auto"/>
                      </w:divBdr>
                      <w:divsChild>
                        <w:div w:id="2074693092">
                          <w:marLeft w:val="0"/>
                          <w:marRight w:val="0"/>
                          <w:marTop w:val="0"/>
                          <w:marBottom w:val="0"/>
                          <w:divBdr>
                            <w:top w:val="none" w:sz="0" w:space="0" w:color="auto"/>
                            <w:left w:val="none" w:sz="0" w:space="0" w:color="auto"/>
                            <w:bottom w:val="none" w:sz="0" w:space="0" w:color="auto"/>
                            <w:right w:val="none" w:sz="0" w:space="0" w:color="auto"/>
                          </w:divBdr>
                          <w:divsChild>
                            <w:div w:id="1086656429">
                              <w:marLeft w:val="0"/>
                              <w:marRight w:val="0"/>
                              <w:marTop w:val="0"/>
                              <w:marBottom w:val="0"/>
                              <w:divBdr>
                                <w:top w:val="none" w:sz="0" w:space="0" w:color="auto"/>
                                <w:left w:val="none" w:sz="0" w:space="0" w:color="auto"/>
                                <w:bottom w:val="none" w:sz="0" w:space="0" w:color="auto"/>
                                <w:right w:val="none" w:sz="0" w:space="0" w:color="auto"/>
                              </w:divBdr>
                              <w:divsChild>
                                <w:div w:id="2040818734">
                                  <w:marLeft w:val="0"/>
                                  <w:marRight w:val="0"/>
                                  <w:marTop w:val="0"/>
                                  <w:marBottom w:val="0"/>
                                  <w:divBdr>
                                    <w:top w:val="none" w:sz="0" w:space="0" w:color="auto"/>
                                    <w:left w:val="none" w:sz="0" w:space="0" w:color="auto"/>
                                    <w:bottom w:val="none" w:sz="0" w:space="0" w:color="auto"/>
                                    <w:right w:val="none" w:sz="0" w:space="0" w:color="auto"/>
                                  </w:divBdr>
                                  <w:divsChild>
                                    <w:div w:id="1593002412">
                                      <w:marLeft w:val="0"/>
                                      <w:marRight w:val="0"/>
                                      <w:marTop w:val="0"/>
                                      <w:marBottom w:val="0"/>
                                      <w:divBdr>
                                        <w:top w:val="none" w:sz="0" w:space="0" w:color="auto"/>
                                        <w:left w:val="none" w:sz="0" w:space="0" w:color="auto"/>
                                        <w:bottom w:val="none" w:sz="0" w:space="0" w:color="auto"/>
                                        <w:right w:val="none" w:sz="0" w:space="0" w:color="auto"/>
                                      </w:divBdr>
                                      <w:divsChild>
                                        <w:div w:id="1190604520">
                                          <w:marLeft w:val="0"/>
                                          <w:marRight w:val="0"/>
                                          <w:marTop w:val="0"/>
                                          <w:marBottom w:val="0"/>
                                          <w:divBdr>
                                            <w:top w:val="none" w:sz="0" w:space="0" w:color="auto"/>
                                            <w:left w:val="none" w:sz="0" w:space="0" w:color="auto"/>
                                            <w:bottom w:val="none" w:sz="0" w:space="0" w:color="auto"/>
                                            <w:right w:val="none" w:sz="0" w:space="0" w:color="auto"/>
                                          </w:divBdr>
                                          <w:divsChild>
                                            <w:div w:id="1317340095">
                                              <w:marLeft w:val="0"/>
                                              <w:marRight w:val="0"/>
                                              <w:marTop w:val="0"/>
                                              <w:marBottom w:val="0"/>
                                              <w:divBdr>
                                                <w:top w:val="none" w:sz="0" w:space="0" w:color="auto"/>
                                                <w:left w:val="none" w:sz="0" w:space="0" w:color="auto"/>
                                                <w:bottom w:val="none" w:sz="0" w:space="0" w:color="auto"/>
                                                <w:right w:val="none" w:sz="0" w:space="0" w:color="auto"/>
                                              </w:divBdr>
                                              <w:divsChild>
                                                <w:div w:id="157708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635483">
                                          <w:marLeft w:val="0"/>
                                          <w:marRight w:val="0"/>
                                          <w:marTop w:val="0"/>
                                          <w:marBottom w:val="0"/>
                                          <w:divBdr>
                                            <w:top w:val="none" w:sz="0" w:space="0" w:color="auto"/>
                                            <w:left w:val="none" w:sz="0" w:space="0" w:color="auto"/>
                                            <w:bottom w:val="none" w:sz="0" w:space="0" w:color="auto"/>
                                            <w:right w:val="none" w:sz="0" w:space="0" w:color="auto"/>
                                          </w:divBdr>
                                          <w:divsChild>
                                            <w:div w:id="1615213875">
                                              <w:marLeft w:val="0"/>
                                              <w:marRight w:val="0"/>
                                              <w:marTop w:val="0"/>
                                              <w:marBottom w:val="0"/>
                                              <w:divBdr>
                                                <w:top w:val="none" w:sz="0" w:space="0" w:color="auto"/>
                                                <w:left w:val="none" w:sz="0" w:space="0" w:color="auto"/>
                                                <w:bottom w:val="none" w:sz="0" w:space="0" w:color="auto"/>
                                                <w:right w:val="none" w:sz="0" w:space="0" w:color="auto"/>
                                              </w:divBdr>
                                              <w:divsChild>
                                                <w:div w:id="419644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372155">
                                          <w:marLeft w:val="0"/>
                                          <w:marRight w:val="0"/>
                                          <w:marTop w:val="0"/>
                                          <w:marBottom w:val="0"/>
                                          <w:divBdr>
                                            <w:top w:val="none" w:sz="0" w:space="0" w:color="auto"/>
                                            <w:left w:val="none" w:sz="0" w:space="0" w:color="auto"/>
                                            <w:bottom w:val="none" w:sz="0" w:space="0" w:color="auto"/>
                                            <w:right w:val="none" w:sz="0" w:space="0" w:color="auto"/>
                                          </w:divBdr>
                                          <w:divsChild>
                                            <w:div w:id="1655644567">
                                              <w:marLeft w:val="0"/>
                                              <w:marRight w:val="0"/>
                                              <w:marTop w:val="0"/>
                                              <w:marBottom w:val="0"/>
                                              <w:divBdr>
                                                <w:top w:val="none" w:sz="0" w:space="0" w:color="auto"/>
                                                <w:left w:val="none" w:sz="0" w:space="0" w:color="auto"/>
                                                <w:bottom w:val="none" w:sz="0" w:space="0" w:color="auto"/>
                                                <w:right w:val="none" w:sz="0" w:space="0" w:color="auto"/>
                                              </w:divBdr>
                                              <w:divsChild>
                                                <w:div w:id="1998337290">
                                                  <w:marLeft w:val="0"/>
                                                  <w:marRight w:val="0"/>
                                                  <w:marTop w:val="0"/>
                                                  <w:marBottom w:val="0"/>
                                                  <w:divBdr>
                                                    <w:top w:val="none" w:sz="0" w:space="0" w:color="auto"/>
                                                    <w:left w:val="none" w:sz="0" w:space="0" w:color="auto"/>
                                                    <w:bottom w:val="none" w:sz="0" w:space="0" w:color="auto"/>
                                                    <w:right w:val="none" w:sz="0" w:space="0" w:color="auto"/>
                                                  </w:divBdr>
                                                  <w:divsChild>
                                                    <w:div w:id="704863955">
                                                      <w:marLeft w:val="0"/>
                                                      <w:marRight w:val="0"/>
                                                      <w:marTop w:val="0"/>
                                                      <w:marBottom w:val="0"/>
                                                      <w:divBdr>
                                                        <w:top w:val="none" w:sz="0" w:space="0" w:color="auto"/>
                                                        <w:left w:val="none" w:sz="0" w:space="0" w:color="auto"/>
                                                        <w:bottom w:val="none" w:sz="0" w:space="0" w:color="auto"/>
                                                        <w:right w:val="none" w:sz="0" w:space="0" w:color="auto"/>
                                                      </w:divBdr>
                                                      <w:divsChild>
                                                        <w:div w:id="431824559">
                                                          <w:marLeft w:val="0"/>
                                                          <w:marRight w:val="0"/>
                                                          <w:marTop w:val="0"/>
                                                          <w:marBottom w:val="0"/>
                                                          <w:divBdr>
                                                            <w:top w:val="none" w:sz="0" w:space="0" w:color="auto"/>
                                                            <w:left w:val="none" w:sz="0" w:space="0" w:color="auto"/>
                                                            <w:bottom w:val="none" w:sz="0" w:space="0" w:color="auto"/>
                                                            <w:right w:val="none" w:sz="0" w:space="0" w:color="auto"/>
                                                          </w:divBdr>
                                                          <w:divsChild>
                                                            <w:div w:id="56958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533897">
                                          <w:marLeft w:val="0"/>
                                          <w:marRight w:val="0"/>
                                          <w:marTop w:val="0"/>
                                          <w:marBottom w:val="0"/>
                                          <w:divBdr>
                                            <w:top w:val="none" w:sz="0" w:space="0" w:color="auto"/>
                                            <w:left w:val="none" w:sz="0" w:space="0" w:color="auto"/>
                                            <w:bottom w:val="none" w:sz="0" w:space="0" w:color="auto"/>
                                            <w:right w:val="none" w:sz="0" w:space="0" w:color="auto"/>
                                          </w:divBdr>
                                          <w:divsChild>
                                            <w:div w:id="1792749037">
                                              <w:marLeft w:val="0"/>
                                              <w:marRight w:val="0"/>
                                              <w:marTop w:val="0"/>
                                              <w:marBottom w:val="0"/>
                                              <w:divBdr>
                                                <w:top w:val="none" w:sz="0" w:space="0" w:color="auto"/>
                                                <w:left w:val="none" w:sz="0" w:space="0" w:color="auto"/>
                                                <w:bottom w:val="none" w:sz="0" w:space="0" w:color="auto"/>
                                                <w:right w:val="none" w:sz="0" w:space="0" w:color="auto"/>
                                              </w:divBdr>
                                              <w:divsChild>
                                                <w:div w:id="1784955291">
                                                  <w:marLeft w:val="0"/>
                                                  <w:marRight w:val="0"/>
                                                  <w:marTop w:val="0"/>
                                                  <w:marBottom w:val="0"/>
                                                  <w:divBdr>
                                                    <w:top w:val="none" w:sz="0" w:space="0" w:color="auto"/>
                                                    <w:left w:val="none" w:sz="0" w:space="0" w:color="auto"/>
                                                    <w:bottom w:val="none" w:sz="0" w:space="0" w:color="auto"/>
                                                    <w:right w:val="none" w:sz="0" w:space="0" w:color="auto"/>
                                                  </w:divBdr>
                                                  <w:divsChild>
                                                    <w:div w:id="1183323419">
                                                      <w:blockQuote w:val="1"/>
                                                      <w:marLeft w:val="120"/>
                                                      <w:marRight w:val="120"/>
                                                      <w:marTop w:val="0"/>
                                                      <w:marBottom w:val="120"/>
                                                      <w:divBdr>
                                                        <w:top w:val="none" w:sz="0" w:space="0" w:color="auto"/>
                                                        <w:left w:val="none" w:sz="0" w:space="0" w:color="auto"/>
                                                        <w:bottom w:val="none" w:sz="0" w:space="0" w:color="auto"/>
                                                        <w:right w:val="none" w:sz="0" w:space="0" w:color="auto"/>
                                                      </w:divBdr>
                                                    </w:div>
                                                    <w:div w:id="1114208791">
                                                      <w:blockQuote w:val="1"/>
                                                      <w:marLeft w:val="120"/>
                                                      <w:marRight w:val="12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historytoday.com/archive/history-today/volume-58-issue-11-november-200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istorytoday.com/archive/history-today/latest" TargetMode="External"/><Relationship Id="rId5" Type="http://schemas.openxmlformats.org/officeDocument/2006/relationships/hyperlink" Target="https://www.historytoday.com/author/alexander-watson" TargetMode="External"/><Relationship Id="rId4" Type="http://schemas.openxmlformats.org/officeDocument/2006/relationships/hyperlink" Target="https://www.historytoday.com/alexander-watson/stabbed-fron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3441</Words>
  <Characters>19617</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Royal Grammar School</Company>
  <LinksUpToDate>false</LinksUpToDate>
  <CharactersWithSpaces>23012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A.Palmer</dc:creator>
  <cp:keywords/>
  <dc:description/>
  <cp:lastModifiedBy>A.Palmer</cp:lastModifiedBy>
  <cp:revision>1</cp:revision>
  <dcterms:created xsi:type="dcterms:W3CDTF">2018-09-06T08:47:00Z</dcterms:created>
  <dcterms:modified xsi:type="dcterms:W3CDTF">2018-09-06T08:49:00Z</dcterms:modified>
</cp:coreProperties>
</file>