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678" w:type="dxa"/>
        <w:tblInd w:w="100" w:type="dxa"/>
        <w:tblBorders>
          <w:top w:val="single" w:sz="18" w:space="0" w:color="9BBB59" w:themeColor="accent3"/>
          <w:left w:val="single" w:sz="18" w:space="0" w:color="9BBB59" w:themeColor="accent3"/>
          <w:bottom w:val="single" w:sz="18" w:space="0" w:color="9BBB59" w:themeColor="accent3"/>
          <w:right w:val="single" w:sz="18" w:space="0" w:color="9BBB59" w:themeColor="accent3"/>
          <w:insideH w:val="single" w:sz="4" w:space="0" w:color="9BBB59" w:themeColor="accent3"/>
          <w:insideV w:val="single" w:sz="4" w:space="0" w:color="9BBB59" w:themeColor="accent3"/>
        </w:tblBorders>
        <w:tblLook w:val="0600" w:firstRow="0" w:lastRow="0" w:firstColumn="0" w:lastColumn="0" w:noHBand="1" w:noVBand="1"/>
      </w:tblPr>
      <w:tblGrid>
        <w:gridCol w:w="3686"/>
        <w:gridCol w:w="3260"/>
        <w:gridCol w:w="3260"/>
        <w:gridCol w:w="4472"/>
      </w:tblGrid>
      <w:tr w:rsidR="00913BC3" w:rsidRPr="00A50D29" w:rsidTr="00913BC3">
        <w:trPr>
          <w:trHeight w:val="1134"/>
        </w:trPr>
        <w:tc>
          <w:tcPr>
            <w:tcW w:w="14678" w:type="dxa"/>
            <w:gridSpan w:val="4"/>
            <w:shd w:val="clear" w:color="auto" w:fill="C2D69B" w:themeFill="accent3" w:themeFillTint="99"/>
            <w:tcMar>
              <w:top w:w="100" w:type="dxa"/>
              <w:left w:w="100" w:type="dxa"/>
              <w:bottom w:w="100" w:type="dxa"/>
              <w:right w:w="100" w:type="dxa"/>
            </w:tcMar>
            <w:vAlign w:val="center"/>
          </w:tcPr>
          <w:p w:rsidR="00913BC3" w:rsidRPr="00913BC3" w:rsidRDefault="00913BC3" w:rsidP="00913BC3">
            <w:pPr>
              <w:pStyle w:val="Heading3"/>
              <w:pBdr>
                <w:top w:val="none" w:sz="0" w:space="0" w:color="auto"/>
                <w:left w:val="none" w:sz="0" w:space="0" w:color="auto"/>
                <w:bottom w:val="none" w:sz="0" w:space="0" w:color="auto"/>
                <w:right w:val="none" w:sz="0" w:space="0" w:color="auto"/>
                <w:between w:val="none" w:sz="0" w:space="0" w:color="auto"/>
              </w:pBdr>
              <w:spacing w:before="0" w:after="0" w:line="240" w:lineRule="auto"/>
              <w:ind w:left="113" w:right="113"/>
              <w:rPr>
                <w:rFonts w:ascii="Trebuchet MS" w:eastAsia="Calibri" w:hAnsi="Trebuchet MS" w:cs="Calibri"/>
                <w:color w:val="FFFFFF"/>
                <w:sz w:val="20"/>
                <w:szCs w:val="20"/>
              </w:rPr>
            </w:pPr>
            <w:r w:rsidRPr="00913BC3">
              <w:rPr>
                <w:rFonts w:ascii="Trebuchet MS" w:eastAsia="Calibri" w:hAnsi="Trebuchet MS" w:cs="Calibri"/>
                <w:color w:val="000000" w:themeColor="text1"/>
                <w:sz w:val="20"/>
                <w:szCs w:val="20"/>
              </w:rPr>
              <w:t>This depth study focuses on the causes and events of the Cold War in Vietnam and seeks to show how and why conflict occurred and why it proved difficult to resolve the tensions which arose, why the Americans failed, how they got out.</w:t>
            </w:r>
          </w:p>
        </w:tc>
      </w:tr>
      <w:tr w:rsidR="00913BC3" w:rsidRPr="00913BC3" w:rsidTr="00913BC3">
        <w:trPr>
          <w:trHeight w:val="850"/>
        </w:trPr>
        <w:tc>
          <w:tcPr>
            <w:tcW w:w="3686" w:type="dxa"/>
            <w:shd w:val="clear" w:color="auto" w:fill="EAF1DD" w:themeFill="accent3" w:themeFillTint="33"/>
            <w:tcMar>
              <w:top w:w="100" w:type="dxa"/>
              <w:left w:w="100" w:type="dxa"/>
              <w:bottom w:w="100" w:type="dxa"/>
              <w:right w:w="100" w:type="dxa"/>
            </w:tcMar>
            <w:vAlign w:val="center"/>
          </w:tcPr>
          <w:p w:rsidR="00913BC3" w:rsidRPr="00913BC3" w:rsidRDefault="00913BC3" w:rsidP="00913BC3">
            <w:pPr>
              <w:pStyle w:val="Heading4"/>
              <w:spacing w:before="0" w:after="0" w:line="240" w:lineRule="auto"/>
              <w:ind w:left="113" w:right="113"/>
              <w:jc w:val="center"/>
              <w:rPr>
                <w:rFonts w:asciiTheme="minorHAnsi" w:eastAsia="Calibri" w:hAnsiTheme="minorHAnsi" w:cs="Calibri"/>
                <w:b/>
                <w:color w:val="auto"/>
                <w:sz w:val="22"/>
                <w:szCs w:val="22"/>
              </w:rPr>
            </w:pPr>
            <w:bookmarkStart w:id="0" w:name="_mu7yr2hav98z" w:colFirst="0" w:colLast="0"/>
            <w:bookmarkEnd w:id="0"/>
            <w:r w:rsidRPr="00913BC3">
              <w:rPr>
                <w:rFonts w:asciiTheme="minorHAnsi" w:eastAsia="Calibri" w:hAnsiTheme="minorHAnsi" w:cs="Calibri"/>
                <w:b/>
                <w:color w:val="auto"/>
                <w:sz w:val="22"/>
                <w:szCs w:val="22"/>
              </w:rPr>
              <w:t>Conflict in Vietnam — Context and causes of the war</w:t>
            </w:r>
          </w:p>
        </w:tc>
        <w:tc>
          <w:tcPr>
            <w:tcW w:w="3260" w:type="dxa"/>
            <w:shd w:val="clear" w:color="auto" w:fill="EAF1DD" w:themeFill="accent3" w:themeFillTint="33"/>
            <w:tcMar>
              <w:top w:w="100" w:type="dxa"/>
              <w:left w:w="100" w:type="dxa"/>
              <w:bottom w:w="100" w:type="dxa"/>
              <w:right w:w="100" w:type="dxa"/>
            </w:tcMar>
            <w:vAlign w:val="center"/>
          </w:tcPr>
          <w:p w:rsidR="00913BC3" w:rsidRPr="00913BC3" w:rsidRDefault="00913BC3" w:rsidP="00913BC3">
            <w:pPr>
              <w:spacing w:line="240" w:lineRule="auto"/>
              <w:ind w:left="113" w:right="113"/>
              <w:jc w:val="center"/>
              <w:rPr>
                <w:rFonts w:asciiTheme="minorHAnsi" w:eastAsia="Calibri" w:hAnsiTheme="minorHAnsi" w:cs="Calibri"/>
                <w:b/>
                <w:color w:val="auto"/>
              </w:rPr>
            </w:pPr>
            <w:r w:rsidRPr="00913BC3">
              <w:rPr>
                <w:rFonts w:asciiTheme="minorHAnsi" w:eastAsia="Calibri" w:hAnsiTheme="minorHAnsi" w:cs="Calibri"/>
                <w:b/>
                <w:color w:val="auto"/>
              </w:rPr>
              <w:t>Conflict in Vietnam — President Johnson's War</w:t>
            </w:r>
          </w:p>
        </w:tc>
        <w:tc>
          <w:tcPr>
            <w:tcW w:w="3260" w:type="dxa"/>
            <w:shd w:val="clear" w:color="auto" w:fill="D6E3BC" w:themeFill="accent3" w:themeFillTint="66"/>
            <w:tcMar>
              <w:top w:w="100" w:type="dxa"/>
              <w:left w:w="100" w:type="dxa"/>
              <w:bottom w:w="100" w:type="dxa"/>
              <w:right w:w="100" w:type="dxa"/>
            </w:tcMar>
            <w:vAlign w:val="center"/>
          </w:tcPr>
          <w:p w:rsidR="00913BC3" w:rsidRPr="00913BC3" w:rsidRDefault="00913BC3" w:rsidP="00913BC3">
            <w:pPr>
              <w:spacing w:line="240" w:lineRule="auto"/>
              <w:ind w:left="113" w:right="113"/>
              <w:jc w:val="center"/>
              <w:rPr>
                <w:rFonts w:asciiTheme="minorHAnsi" w:eastAsia="Calibri" w:hAnsiTheme="minorHAnsi" w:cs="Calibri"/>
                <w:b/>
                <w:color w:val="auto"/>
              </w:rPr>
            </w:pPr>
            <w:r w:rsidRPr="00913BC3">
              <w:rPr>
                <w:rFonts w:asciiTheme="minorHAnsi" w:eastAsia="Calibri" w:hAnsiTheme="minorHAnsi" w:cs="Calibri"/>
                <w:b/>
                <w:color w:val="auto"/>
              </w:rPr>
              <w:t>Conflict in Vietnam — Protest movements in the USA</w:t>
            </w:r>
          </w:p>
        </w:tc>
        <w:tc>
          <w:tcPr>
            <w:tcW w:w="4472" w:type="dxa"/>
            <w:shd w:val="clear" w:color="auto" w:fill="D6E3BC" w:themeFill="accent3" w:themeFillTint="66"/>
            <w:vAlign w:val="center"/>
          </w:tcPr>
          <w:p w:rsidR="00913BC3" w:rsidRPr="00913BC3" w:rsidRDefault="00913BC3" w:rsidP="00913BC3">
            <w:pPr>
              <w:spacing w:line="240" w:lineRule="auto"/>
              <w:ind w:left="113" w:right="113"/>
              <w:rPr>
                <w:rFonts w:asciiTheme="minorHAnsi" w:eastAsia="Calibri" w:hAnsiTheme="minorHAnsi" w:cs="Calibri"/>
                <w:b/>
                <w:color w:val="auto"/>
              </w:rPr>
            </w:pPr>
            <w:r w:rsidRPr="00913BC3">
              <w:rPr>
                <w:rFonts w:asciiTheme="minorHAnsi" w:eastAsia="Calibri" w:hAnsiTheme="minorHAnsi" w:cs="Calibri"/>
                <w:b/>
                <w:color w:val="auto"/>
              </w:rPr>
              <w:t>Conflict in Vietnam — US actions to end the war</w:t>
            </w:r>
          </w:p>
        </w:tc>
      </w:tr>
      <w:tr w:rsidR="00913BC3" w:rsidRPr="00A50D29" w:rsidTr="00913BC3">
        <w:trPr>
          <w:trHeight w:val="567"/>
        </w:trPr>
        <w:tc>
          <w:tcPr>
            <w:tcW w:w="3686" w:type="dxa"/>
            <w:shd w:val="clear" w:color="auto" w:fill="auto"/>
            <w:tcMar>
              <w:top w:w="100" w:type="dxa"/>
              <w:left w:w="100" w:type="dxa"/>
              <w:bottom w:w="100" w:type="dxa"/>
              <w:right w:w="100" w:type="dxa"/>
            </w:tcMar>
          </w:tcPr>
          <w:p w:rsidR="00913BC3" w:rsidRPr="00913BC3" w:rsidRDefault="00913BC3" w:rsidP="00913BC3">
            <w:pPr>
              <w:widowControl w:val="0"/>
              <w:numPr>
                <w:ilvl w:val="0"/>
                <w:numId w:val="2"/>
              </w:numPr>
              <w:spacing w:line="240" w:lineRule="auto"/>
              <w:ind w:left="360"/>
              <w:contextualSpacing/>
              <w:rPr>
                <w:rFonts w:asciiTheme="minorHAnsi" w:eastAsia="Calibri" w:hAnsiTheme="minorHAnsi" w:cs="Calibri"/>
                <w:sz w:val="20"/>
                <w:szCs w:val="20"/>
              </w:rPr>
            </w:pPr>
            <w:r w:rsidRPr="00913BC3">
              <w:rPr>
                <w:rFonts w:asciiTheme="minorHAnsi" w:eastAsia="Calibri" w:hAnsiTheme="minorHAnsi" w:cs="Calibri"/>
                <w:b/>
                <w:sz w:val="20"/>
                <w:szCs w:val="20"/>
              </w:rPr>
              <w:t xml:space="preserve">French </w:t>
            </w:r>
            <w:proofErr w:type="spellStart"/>
            <w:r w:rsidRPr="00913BC3">
              <w:rPr>
                <w:rFonts w:asciiTheme="minorHAnsi" w:eastAsia="Calibri" w:hAnsiTheme="minorHAnsi" w:cs="Calibri"/>
                <w:b/>
                <w:sz w:val="20"/>
                <w:szCs w:val="20"/>
              </w:rPr>
              <w:t>Ido</w:t>
            </w:r>
            <w:proofErr w:type="spellEnd"/>
            <w:r w:rsidRPr="00913BC3">
              <w:rPr>
                <w:rFonts w:asciiTheme="minorHAnsi" w:eastAsia="Calibri" w:hAnsiTheme="minorHAnsi" w:cs="Calibri"/>
                <w:b/>
                <w:sz w:val="20"/>
                <w:szCs w:val="20"/>
              </w:rPr>
              <w:t>-China and e</w:t>
            </w:r>
            <w:r w:rsidRPr="00913BC3">
              <w:rPr>
                <w:rFonts w:asciiTheme="minorHAnsi" w:eastAsia="Calibri" w:hAnsiTheme="minorHAnsi" w:cs="Calibri"/>
                <w:b/>
                <w:sz w:val="20"/>
                <w:szCs w:val="20"/>
              </w:rPr>
              <w:t>nd of French colonial rule</w:t>
            </w:r>
            <w:r w:rsidRPr="00913BC3">
              <w:rPr>
                <w:rFonts w:asciiTheme="minorHAnsi" w:eastAsia="Calibri" w:hAnsiTheme="minorHAnsi" w:cs="Calibri"/>
                <w:sz w:val="20"/>
                <w:szCs w:val="20"/>
              </w:rPr>
              <w:t xml:space="preserve"> </w:t>
            </w:r>
          </w:p>
          <w:p w:rsidR="00913BC3" w:rsidRPr="00913BC3" w:rsidRDefault="00913BC3" w:rsidP="00913BC3">
            <w:pPr>
              <w:widowControl w:val="0"/>
              <w:spacing w:line="240" w:lineRule="auto"/>
              <w:ind w:left="360"/>
              <w:contextualSpacing/>
              <w:rPr>
                <w:rFonts w:asciiTheme="minorHAnsi" w:eastAsia="Calibri" w:hAnsiTheme="minorHAnsi" w:cs="Calibri"/>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 xml:space="preserve">French Indo-China, Vietminh, </w:t>
            </w:r>
            <w:proofErr w:type="spellStart"/>
            <w:r w:rsidRPr="00913BC3">
              <w:rPr>
                <w:rFonts w:asciiTheme="minorHAnsi" w:eastAsia="Calibri" w:hAnsiTheme="minorHAnsi" w:cs="Calibri"/>
                <w:sz w:val="20"/>
                <w:szCs w:val="20"/>
              </w:rPr>
              <w:t>Ho</w:t>
            </w:r>
            <w:proofErr w:type="spellEnd"/>
            <w:r w:rsidRPr="00913BC3">
              <w:rPr>
                <w:rFonts w:asciiTheme="minorHAnsi" w:eastAsia="Calibri" w:hAnsiTheme="minorHAnsi" w:cs="Calibri"/>
                <w:sz w:val="20"/>
                <w:szCs w:val="20"/>
              </w:rPr>
              <w:t xml:space="preserve"> Chi Minh, </w:t>
            </w:r>
            <w:proofErr w:type="spellStart"/>
            <w:r w:rsidRPr="00913BC3">
              <w:rPr>
                <w:rFonts w:asciiTheme="minorHAnsi" w:eastAsia="Calibri" w:hAnsiTheme="minorHAnsi" w:cs="Calibri"/>
                <w:sz w:val="20"/>
                <w:szCs w:val="20"/>
              </w:rPr>
              <w:t>Dien</w:t>
            </w:r>
            <w:proofErr w:type="spellEnd"/>
            <w:r w:rsidRPr="00913BC3">
              <w:rPr>
                <w:rFonts w:asciiTheme="minorHAnsi" w:eastAsia="Calibri" w:hAnsiTheme="minorHAnsi" w:cs="Calibri"/>
                <w:sz w:val="20"/>
                <w:szCs w:val="20"/>
              </w:rPr>
              <w:t xml:space="preserve"> Bien </w:t>
            </w:r>
            <w:proofErr w:type="spellStart"/>
            <w:r w:rsidRPr="00913BC3">
              <w:rPr>
                <w:rFonts w:asciiTheme="minorHAnsi" w:eastAsia="Calibri" w:hAnsiTheme="minorHAnsi" w:cs="Calibri"/>
                <w:sz w:val="20"/>
                <w:szCs w:val="20"/>
              </w:rPr>
              <w:t>Phu</w:t>
            </w:r>
            <w:proofErr w:type="spellEnd"/>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consequences of French defeat</w:t>
            </w:r>
          </w:p>
          <w:p w:rsidR="00913BC3" w:rsidRPr="00913BC3" w:rsidRDefault="00913BC3" w:rsidP="00913BC3">
            <w:pPr>
              <w:pStyle w:val="ListParagraph"/>
              <w:widowControl w:val="0"/>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2"/>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Geneva Agreement, 1954</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division of Vietnam, 17th Parallel</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 xml:space="preserve">1956 Election, unpopularity of Ngo </w:t>
            </w:r>
            <w:proofErr w:type="spellStart"/>
            <w:r w:rsidRPr="00913BC3">
              <w:rPr>
                <w:rFonts w:asciiTheme="minorHAnsi" w:eastAsia="Calibri" w:hAnsiTheme="minorHAnsi" w:cs="Calibri"/>
                <w:sz w:val="20"/>
                <w:szCs w:val="20"/>
              </w:rPr>
              <w:t>Dinh</w:t>
            </w:r>
            <w:proofErr w:type="spellEnd"/>
            <w:r w:rsidRPr="00913BC3">
              <w:rPr>
                <w:rFonts w:asciiTheme="minorHAnsi" w:eastAsia="Calibri" w:hAnsiTheme="minorHAnsi" w:cs="Calibri"/>
                <w:sz w:val="20"/>
                <w:szCs w:val="20"/>
              </w:rPr>
              <w:t xml:space="preserve"> Diem, Buddhist Crisis</w:t>
            </w:r>
          </w:p>
          <w:p w:rsidR="00913BC3" w:rsidRPr="00913BC3" w:rsidRDefault="00913BC3" w:rsidP="00913BC3">
            <w:pPr>
              <w:pStyle w:val="ListParagraph"/>
              <w:widowControl w:val="0"/>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2"/>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Civil war in South Vietnam</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NLF/Vietcong (VC), aims of the VC</w:t>
            </w:r>
          </w:p>
          <w:p w:rsidR="00913BC3" w:rsidRPr="00913BC3" w:rsidRDefault="00913BC3" w:rsidP="00913BC3">
            <w:pPr>
              <w:pStyle w:val="ListParagraph"/>
              <w:widowControl w:val="0"/>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2"/>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US reaction to the civil war 1953—63</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intervention under Eisenhower</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intervention under Kennedy</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advisers, Strategic Hamlets programme</w:t>
            </w:r>
          </w:p>
        </w:tc>
        <w:tc>
          <w:tcPr>
            <w:tcW w:w="3260" w:type="dxa"/>
            <w:shd w:val="clear" w:color="auto" w:fill="auto"/>
            <w:tcMar>
              <w:top w:w="100" w:type="dxa"/>
              <w:left w:w="100" w:type="dxa"/>
              <w:bottom w:w="100" w:type="dxa"/>
              <w:right w:w="100" w:type="dxa"/>
            </w:tcMar>
          </w:tcPr>
          <w:p w:rsidR="00913BC3" w:rsidRPr="00913BC3" w:rsidRDefault="00913BC3" w:rsidP="00913BC3">
            <w:pPr>
              <w:widowControl w:val="0"/>
              <w:numPr>
                <w:ilvl w:val="0"/>
                <w:numId w:val="3"/>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r w:rsidRPr="00913BC3">
              <w:rPr>
                <w:rFonts w:asciiTheme="minorHAnsi" w:eastAsia="Calibri" w:hAnsiTheme="minorHAnsi" w:cs="Calibri"/>
                <w:b/>
                <w:sz w:val="20"/>
                <w:szCs w:val="20"/>
              </w:rPr>
              <w:t>Gulf</w:t>
            </w:r>
            <w:r w:rsidRPr="00913BC3">
              <w:rPr>
                <w:rFonts w:asciiTheme="minorHAnsi" w:eastAsia="Calibri" w:hAnsiTheme="minorHAnsi" w:cs="Calibri"/>
                <w:b/>
                <w:sz w:val="20"/>
                <w:szCs w:val="20"/>
                <w:highlight w:val="white"/>
              </w:rPr>
              <w:t xml:space="preserve"> of Tonkin</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Gulf of Tonkin incident, USS Maddox</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Gulf of Tonkin resolution</w:t>
            </w:r>
          </w:p>
          <w:p w:rsidR="00913BC3" w:rsidRPr="00913BC3" w:rsidRDefault="00913BC3" w:rsidP="00913BC3">
            <w:pPr>
              <w:pStyle w:val="ListParagraph"/>
              <w:widowControl w:val="0"/>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3"/>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r w:rsidRPr="00913BC3">
              <w:rPr>
                <w:rFonts w:asciiTheme="minorHAnsi" w:eastAsia="Calibri" w:hAnsiTheme="minorHAnsi" w:cs="Calibri"/>
                <w:b/>
                <w:sz w:val="20"/>
                <w:szCs w:val="20"/>
                <w:highlight w:val="white"/>
              </w:rPr>
              <w:t>Vietcong tactics</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b/>
                <w:sz w:val="20"/>
                <w:szCs w:val="20"/>
                <w:highlight w:val="white"/>
              </w:rPr>
            </w:pPr>
            <w:r w:rsidRPr="00913BC3">
              <w:rPr>
                <w:rFonts w:asciiTheme="minorHAnsi" w:eastAsia="Calibri" w:hAnsiTheme="minorHAnsi" w:cs="Calibri"/>
                <w:sz w:val="20"/>
                <w:szCs w:val="20"/>
              </w:rPr>
              <w:t>guerrilla warfare</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‘Hit and run’, ‘Hanging onto the belts’</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booby traps, tunnel system</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bookmarkStart w:id="1" w:name="_GoBack"/>
            <w:bookmarkEnd w:id="1"/>
            <w:proofErr w:type="spellStart"/>
            <w:r w:rsidRPr="00913BC3">
              <w:rPr>
                <w:rFonts w:asciiTheme="minorHAnsi" w:eastAsia="Calibri" w:hAnsiTheme="minorHAnsi" w:cs="Calibri"/>
                <w:sz w:val="20"/>
                <w:szCs w:val="20"/>
              </w:rPr>
              <w:t>Ho</w:t>
            </w:r>
            <w:proofErr w:type="spellEnd"/>
            <w:r w:rsidRPr="00913BC3">
              <w:rPr>
                <w:rFonts w:asciiTheme="minorHAnsi" w:eastAsia="Calibri" w:hAnsiTheme="minorHAnsi" w:cs="Calibri"/>
                <w:sz w:val="20"/>
                <w:szCs w:val="20"/>
              </w:rPr>
              <w:t xml:space="preserve"> Chi Minh trail, Vietcong code of conduct</w:t>
            </w:r>
          </w:p>
          <w:p w:rsidR="00913BC3" w:rsidRPr="00913BC3" w:rsidRDefault="00913BC3" w:rsidP="00913BC3">
            <w:pPr>
              <w:pStyle w:val="ListParagraph"/>
              <w:widowControl w:val="0"/>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3"/>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r w:rsidRPr="00913BC3">
              <w:rPr>
                <w:rFonts w:asciiTheme="minorHAnsi" w:eastAsia="Calibri" w:hAnsiTheme="minorHAnsi" w:cs="Calibri"/>
                <w:b/>
                <w:sz w:val="20"/>
                <w:szCs w:val="20"/>
              </w:rPr>
              <w:t>US response to Vietcong tactics</w:t>
            </w:r>
          </w:p>
          <w:p w:rsidR="00913BC3" w:rsidRPr="00913BC3" w:rsidRDefault="00913BC3" w:rsidP="00913BC3">
            <w:pPr>
              <w:widowControl w:val="0"/>
              <w:pBdr>
                <w:top w:val="none" w:sz="0" w:space="0" w:color="auto"/>
                <w:bottom w:val="none" w:sz="0" w:space="0" w:color="auto"/>
                <w:right w:val="none" w:sz="0" w:space="0" w:color="auto"/>
                <w:between w:val="none" w:sz="0" w:space="0" w:color="auto"/>
              </w:pBdr>
              <w:spacing w:line="240" w:lineRule="auto"/>
              <w:ind w:left="360"/>
              <w:contextualSpacing/>
              <w:rPr>
                <w:rFonts w:asciiTheme="minorHAnsi" w:eastAsia="Calibri" w:hAnsiTheme="minorHAnsi" w:cs="Calibri"/>
                <w:b/>
                <w:sz w:val="20"/>
                <w:szCs w:val="20"/>
                <w:highlight w:val="white"/>
              </w:rPr>
            </w:pP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mass bombing, Operation Rolling Thunder</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impact of ‘Search and Destroy’, Zippo raids</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battle for ‘Hearts and Minds’</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defoliants, Agent Orange</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‘bait’ the enemy, Napalm</w:t>
            </w:r>
          </w:p>
        </w:tc>
        <w:tc>
          <w:tcPr>
            <w:tcW w:w="3260" w:type="dxa"/>
            <w:shd w:val="clear" w:color="auto" w:fill="auto"/>
            <w:tcMar>
              <w:top w:w="100" w:type="dxa"/>
              <w:left w:w="100" w:type="dxa"/>
              <w:bottom w:w="100" w:type="dxa"/>
              <w:right w:w="100" w:type="dxa"/>
            </w:tcMar>
          </w:tcPr>
          <w:p w:rsidR="00913BC3" w:rsidRPr="00913BC3" w:rsidRDefault="00913BC3" w:rsidP="00913BC3">
            <w:pPr>
              <w:widowControl w:val="0"/>
              <w:numPr>
                <w:ilvl w:val="0"/>
                <w:numId w:val="4"/>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TV and media coverage of the war</w:t>
            </w:r>
          </w:p>
          <w:p w:rsidR="00913BC3" w:rsidRPr="00913BC3" w:rsidRDefault="00913BC3" w:rsidP="00913BC3">
            <w:pPr>
              <w:widowControl w:val="0"/>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coverage of the Gulf of Tonkin incident and Tet Offensive, impact, Walter Cronkite</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 xml:space="preserve">coverage of My Lai, impact, Lt. William </w:t>
            </w:r>
            <w:proofErr w:type="spellStart"/>
            <w:r w:rsidRPr="00913BC3">
              <w:rPr>
                <w:rFonts w:asciiTheme="minorHAnsi" w:eastAsia="Calibri" w:hAnsiTheme="minorHAnsi" w:cs="Calibri"/>
                <w:sz w:val="20"/>
                <w:szCs w:val="20"/>
              </w:rPr>
              <w:t>Calley</w:t>
            </w:r>
            <w:proofErr w:type="spellEnd"/>
            <w:r w:rsidRPr="00913BC3">
              <w:rPr>
                <w:rFonts w:asciiTheme="minorHAnsi" w:eastAsia="Calibri" w:hAnsiTheme="minorHAnsi" w:cs="Calibri"/>
                <w:sz w:val="20"/>
                <w:szCs w:val="20"/>
              </w:rPr>
              <w:t xml:space="preserve">, Seymour </w:t>
            </w:r>
            <w:proofErr w:type="spellStart"/>
            <w:r w:rsidRPr="00913BC3">
              <w:rPr>
                <w:rFonts w:asciiTheme="minorHAnsi" w:eastAsia="Calibri" w:hAnsiTheme="minorHAnsi" w:cs="Calibri"/>
                <w:sz w:val="20"/>
                <w:szCs w:val="20"/>
              </w:rPr>
              <w:t>Hersh</w:t>
            </w:r>
            <w:proofErr w:type="spellEnd"/>
            <w:r w:rsidRPr="00913BC3">
              <w:rPr>
                <w:rFonts w:asciiTheme="minorHAnsi" w:eastAsia="Calibri" w:hAnsiTheme="minorHAnsi" w:cs="Calibri"/>
                <w:sz w:val="20"/>
                <w:szCs w:val="20"/>
              </w:rPr>
              <w:t xml:space="preserve"> </w:t>
            </w:r>
          </w:p>
          <w:p w:rsidR="00913BC3" w:rsidRPr="00913BC3" w:rsidRDefault="00913BC3" w:rsidP="00913BC3">
            <w:pPr>
              <w:pStyle w:val="ListParagraph"/>
              <w:widowControl w:val="0"/>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4"/>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Anti-war movements in the USA</w:t>
            </w:r>
          </w:p>
          <w:p w:rsidR="00913BC3" w:rsidRPr="00913BC3" w:rsidRDefault="00913BC3" w:rsidP="00913BC3">
            <w:pPr>
              <w:widowControl w:val="0"/>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context of Watergate</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Kent State protest</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Vietnam Veterans Against the War (VVAW)</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March on Washington</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Fulbright hearings</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the draft, impact of conscription</w:t>
            </w:r>
          </w:p>
          <w:p w:rsidR="00913BC3" w:rsidRPr="00913BC3" w:rsidRDefault="00913BC3" w:rsidP="00913BC3">
            <w:pPr>
              <w:pStyle w:val="ListParagraph"/>
              <w:widowControl w:val="0"/>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4"/>
              </w:numPr>
              <w:pBdr>
                <w:top w:val="none" w:sz="0" w:space="0" w:color="auto"/>
                <w:bottom w:val="none" w:sz="0" w:space="0" w:color="auto"/>
                <w:right w:val="none" w:sz="0" w:space="0" w:color="auto"/>
                <w:between w:val="none" w:sz="0" w:space="0" w:color="auto"/>
              </w:pBdr>
              <w:spacing w:line="240" w:lineRule="auto"/>
              <w:ind w:left="360"/>
              <w:contextualSpacing/>
              <w:rPr>
                <w:rFonts w:asciiTheme="minorHAnsi" w:hAnsiTheme="minorHAnsi"/>
                <w:b/>
                <w:sz w:val="20"/>
                <w:szCs w:val="20"/>
              </w:rPr>
            </w:pPr>
            <w:r w:rsidRPr="00913BC3">
              <w:rPr>
                <w:rFonts w:asciiTheme="minorHAnsi" w:eastAsia="Calibri" w:hAnsiTheme="minorHAnsi" w:cs="Calibri"/>
                <w:b/>
                <w:sz w:val="20"/>
                <w:szCs w:val="20"/>
              </w:rPr>
              <w:t>Anti-war role models</w:t>
            </w:r>
          </w:p>
          <w:p w:rsidR="00913BC3" w:rsidRPr="00913BC3" w:rsidRDefault="00913BC3" w:rsidP="00913BC3">
            <w:pPr>
              <w:pStyle w:val="ListParagraph"/>
              <w:widowControl w:val="0"/>
              <w:numPr>
                <w:ilvl w:val="0"/>
                <w:numId w:val="6"/>
              </w:numPr>
              <w:pBdr>
                <w:top w:val="none" w:sz="0" w:space="0" w:color="auto"/>
                <w:bottom w:val="none" w:sz="0" w:space="0" w:color="auto"/>
                <w:right w:val="none" w:sz="0" w:space="0" w:color="auto"/>
                <w:between w:val="none" w:sz="0" w:space="0" w:color="auto"/>
              </w:pBdr>
              <w:spacing w:line="240" w:lineRule="auto"/>
              <w:rPr>
                <w:rFonts w:asciiTheme="minorHAnsi" w:eastAsia="Calibri" w:hAnsiTheme="minorHAnsi" w:cs="Calibri"/>
                <w:b/>
                <w:sz w:val="20"/>
                <w:szCs w:val="20"/>
              </w:rPr>
            </w:pPr>
            <w:r w:rsidRPr="00913BC3">
              <w:rPr>
                <w:rFonts w:asciiTheme="minorHAnsi" w:eastAsia="Calibri" w:hAnsiTheme="minorHAnsi" w:cs="Calibri"/>
                <w:sz w:val="20"/>
                <w:szCs w:val="20"/>
              </w:rPr>
              <w:t>MLK, Muhammed Ali, Bob Dylan</w:t>
            </w:r>
          </w:p>
        </w:tc>
        <w:tc>
          <w:tcPr>
            <w:tcW w:w="4472" w:type="dxa"/>
          </w:tcPr>
          <w:p w:rsidR="00913BC3" w:rsidRPr="00913BC3" w:rsidRDefault="00913BC3" w:rsidP="00913BC3">
            <w:pPr>
              <w:widowControl w:val="0"/>
              <w:numPr>
                <w:ilvl w:val="0"/>
                <w:numId w:val="3"/>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Paris Peace Conference</w:t>
            </w:r>
          </w:p>
          <w:p w:rsidR="00913BC3" w:rsidRPr="00913BC3" w:rsidRDefault="00913BC3" w:rsidP="00913BC3">
            <w:pPr>
              <w:widowControl w:val="0"/>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 xml:space="preserve">Henry Kissinger, Lu </w:t>
            </w:r>
            <w:proofErr w:type="spellStart"/>
            <w:r w:rsidRPr="00913BC3">
              <w:rPr>
                <w:rFonts w:asciiTheme="minorHAnsi" w:eastAsia="Calibri" w:hAnsiTheme="minorHAnsi" w:cs="Calibri"/>
                <w:sz w:val="20"/>
                <w:szCs w:val="20"/>
              </w:rPr>
              <w:t>Duc</w:t>
            </w:r>
            <w:proofErr w:type="spellEnd"/>
            <w:r w:rsidRPr="00913BC3">
              <w:rPr>
                <w:rFonts w:asciiTheme="minorHAnsi" w:eastAsia="Calibri" w:hAnsiTheme="minorHAnsi" w:cs="Calibri"/>
                <w:sz w:val="20"/>
                <w:szCs w:val="20"/>
              </w:rPr>
              <w:t xml:space="preserve"> </w:t>
            </w:r>
            <w:proofErr w:type="spellStart"/>
            <w:r w:rsidRPr="00913BC3">
              <w:rPr>
                <w:rFonts w:asciiTheme="minorHAnsi" w:eastAsia="Calibri" w:hAnsiTheme="minorHAnsi" w:cs="Calibri"/>
                <w:sz w:val="20"/>
                <w:szCs w:val="20"/>
              </w:rPr>
              <w:t>Tho</w:t>
            </w:r>
            <w:proofErr w:type="spellEnd"/>
            <w:r w:rsidRPr="00913BC3">
              <w:rPr>
                <w:rFonts w:asciiTheme="minorHAnsi" w:eastAsia="Calibri" w:hAnsiTheme="minorHAnsi" w:cs="Calibri"/>
                <w:sz w:val="20"/>
                <w:szCs w:val="20"/>
              </w:rPr>
              <w:t>, Nobel Peace Prize</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terms of the Paris Peace Agreement</w:t>
            </w:r>
          </w:p>
          <w:p w:rsidR="00913BC3" w:rsidRPr="00913BC3" w:rsidRDefault="00913BC3" w:rsidP="00913BC3">
            <w:pPr>
              <w:pStyle w:val="ListParagraph"/>
              <w:widowControl w:val="0"/>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3"/>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Nixon’s actions to end the war</w:t>
            </w:r>
          </w:p>
          <w:p w:rsidR="00913BC3" w:rsidRPr="00913BC3" w:rsidRDefault="00913BC3" w:rsidP="00913BC3">
            <w:pPr>
              <w:widowControl w:val="0"/>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proofErr w:type="spellStart"/>
            <w:r w:rsidRPr="00913BC3">
              <w:rPr>
                <w:rFonts w:asciiTheme="minorHAnsi" w:eastAsia="Calibri" w:hAnsiTheme="minorHAnsi" w:cs="Calibri"/>
                <w:sz w:val="20"/>
                <w:szCs w:val="20"/>
              </w:rPr>
              <w:t>Vietnamisation</w:t>
            </w:r>
            <w:proofErr w:type="spellEnd"/>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widening war into Laos and Cambodia</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Bombing campaigns of 1970—72</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US withdrawal</w:t>
            </w:r>
          </w:p>
          <w:p w:rsidR="00913BC3" w:rsidRPr="00913BC3" w:rsidRDefault="00913BC3" w:rsidP="00913BC3">
            <w:pPr>
              <w:pStyle w:val="ListParagraph"/>
              <w:widowControl w:val="0"/>
              <w:spacing w:line="240" w:lineRule="auto"/>
              <w:rPr>
                <w:rFonts w:asciiTheme="minorHAnsi" w:eastAsia="Calibri" w:hAnsiTheme="minorHAnsi" w:cs="Calibri"/>
                <w:sz w:val="20"/>
                <w:szCs w:val="20"/>
              </w:rPr>
            </w:pPr>
          </w:p>
          <w:p w:rsidR="00913BC3" w:rsidRPr="00913BC3" w:rsidRDefault="00913BC3" w:rsidP="00913BC3">
            <w:pPr>
              <w:widowControl w:val="0"/>
              <w:numPr>
                <w:ilvl w:val="0"/>
                <w:numId w:val="3"/>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b/>
                <w:sz w:val="20"/>
                <w:szCs w:val="20"/>
              </w:rPr>
              <w:t>Fall of Saigon</w:t>
            </w:r>
          </w:p>
          <w:p w:rsidR="00913BC3" w:rsidRPr="00913BC3" w:rsidRDefault="00913BC3" w:rsidP="00913BC3">
            <w:pPr>
              <w:widowControl w:val="0"/>
              <w:spacing w:line="240" w:lineRule="auto"/>
              <w:ind w:left="360"/>
              <w:contextualSpacing/>
              <w:rPr>
                <w:rFonts w:asciiTheme="minorHAnsi" w:eastAsia="Calibri" w:hAnsiTheme="minorHAnsi" w:cs="Calibri"/>
                <w:b/>
                <w:sz w:val="20"/>
                <w:szCs w:val="20"/>
              </w:rPr>
            </w:pP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 xml:space="preserve">When? Why? </w:t>
            </w:r>
          </w:p>
          <w:p w:rsidR="00913BC3" w:rsidRPr="00913BC3" w:rsidRDefault="00913BC3" w:rsidP="00913BC3">
            <w:pPr>
              <w:pStyle w:val="ListParagraph"/>
              <w:widowControl w:val="0"/>
              <w:numPr>
                <w:ilvl w:val="0"/>
                <w:numId w:val="6"/>
              </w:numPr>
              <w:spacing w:line="240" w:lineRule="auto"/>
              <w:rPr>
                <w:rFonts w:asciiTheme="minorHAnsi" w:eastAsia="Calibri" w:hAnsiTheme="minorHAnsi" w:cs="Calibri"/>
                <w:sz w:val="20"/>
                <w:szCs w:val="20"/>
              </w:rPr>
            </w:pPr>
            <w:r w:rsidRPr="00913BC3">
              <w:rPr>
                <w:rFonts w:asciiTheme="minorHAnsi" w:eastAsia="Calibri" w:hAnsiTheme="minorHAnsi" w:cs="Calibri"/>
                <w:sz w:val="20"/>
                <w:szCs w:val="20"/>
              </w:rPr>
              <w:t>final US withdrawal and evacuation</w:t>
            </w:r>
          </w:p>
          <w:p w:rsidR="00913BC3" w:rsidRPr="00913BC3" w:rsidRDefault="00913BC3" w:rsidP="00913BC3">
            <w:pPr>
              <w:widowControl w:val="0"/>
              <w:numPr>
                <w:ilvl w:val="0"/>
                <w:numId w:val="4"/>
              </w:numPr>
              <w:spacing w:line="240" w:lineRule="auto"/>
              <w:ind w:left="360"/>
              <w:contextualSpacing/>
              <w:rPr>
                <w:rFonts w:asciiTheme="minorHAnsi" w:eastAsia="Calibri" w:hAnsiTheme="minorHAnsi" w:cs="Calibri"/>
                <w:b/>
                <w:sz w:val="20"/>
                <w:szCs w:val="20"/>
              </w:rPr>
            </w:pPr>
            <w:r w:rsidRPr="00913BC3">
              <w:rPr>
                <w:rFonts w:asciiTheme="minorHAnsi" w:eastAsia="Calibri" w:hAnsiTheme="minorHAnsi" w:cs="Calibri"/>
                <w:sz w:val="20"/>
                <w:szCs w:val="20"/>
              </w:rPr>
              <w:t>the price of conflict; problems in Vietnam</w:t>
            </w:r>
            <w:r w:rsidRPr="00913BC3">
              <w:rPr>
                <w:rFonts w:asciiTheme="minorHAnsi" w:eastAsia="Calibri" w:hAnsiTheme="minorHAnsi" w:cs="Calibri"/>
                <w:sz w:val="20"/>
                <w:szCs w:val="20"/>
                <w:highlight w:val="white"/>
              </w:rPr>
              <w:t xml:space="preserve"> in 1975</w:t>
            </w:r>
          </w:p>
        </w:tc>
      </w:tr>
    </w:tbl>
    <w:p w:rsidR="00A50D29" w:rsidRPr="00A50D29" w:rsidRDefault="00A50D29">
      <w:pPr>
        <w:rPr>
          <w:rFonts w:ascii="Trebuchet MS" w:hAnsi="Trebuchet MS"/>
          <w:sz w:val="24"/>
          <w:szCs w:val="24"/>
        </w:rPr>
        <w:sectPr w:rsidR="00A50D29" w:rsidRPr="00A50D29" w:rsidSect="00290F78">
          <w:headerReference w:type="default" r:id="rId7"/>
          <w:pgSz w:w="16838" w:h="11906" w:orient="landscape"/>
          <w:pgMar w:top="1134" w:right="1134" w:bottom="851" w:left="1134" w:header="709" w:footer="709" w:gutter="0"/>
          <w:cols w:space="708"/>
          <w:docGrid w:linePitch="381"/>
        </w:sectPr>
      </w:pPr>
    </w:p>
    <w:p w:rsidR="00D97C75" w:rsidRPr="00A50D29" w:rsidRDefault="00D97C75" w:rsidP="005C54B4">
      <w:pPr>
        <w:spacing w:line="240" w:lineRule="auto"/>
        <w:rPr>
          <w:rFonts w:ascii="Trebuchet MS" w:hAnsi="Trebuchet MS"/>
          <w:color w:val="auto"/>
          <w:sz w:val="24"/>
          <w:szCs w:val="24"/>
          <w:u w:val="single"/>
          <w:shd w:val="clear" w:color="auto" w:fill="FFFFFF"/>
        </w:rPr>
      </w:pPr>
      <w:bookmarkStart w:id="2" w:name="_80wwiix23mir" w:colFirst="0" w:colLast="0"/>
      <w:bookmarkEnd w:id="2"/>
    </w:p>
    <w:sectPr w:rsidR="00D97C75" w:rsidRPr="00A50D29" w:rsidSect="00290F78">
      <w:pgSz w:w="16838" w:h="11906" w:orient="landscape"/>
      <w:pgMar w:top="1134" w:right="1134" w:bottom="851" w:left="1134"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54B4" w:rsidRDefault="005C54B4" w:rsidP="00B55A21">
      <w:r>
        <w:separator/>
      </w:r>
    </w:p>
  </w:endnote>
  <w:endnote w:type="continuationSeparator" w:id="0">
    <w:p w:rsidR="005C54B4" w:rsidRDefault="005C54B4" w:rsidP="00B55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54B4" w:rsidRDefault="005C54B4" w:rsidP="00B55A21">
      <w:r>
        <w:separator/>
      </w:r>
    </w:p>
  </w:footnote>
  <w:footnote w:type="continuationSeparator" w:id="0">
    <w:p w:rsidR="005C54B4" w:rsidRDefault="005C54B4" w:rsidP="00B55A2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132" w:rsidRPr="0035458B" w:rsidRDefault="00913BC3" w:rsidP="0035458B">
    <w:pPr>
      <w:pStyle w:val="Header"/>
      <w:pBdr>
        <w:bottom w:val="single" w:sz="4" w:space="1" w:color="auto"/>
      </w:pBdr>
      <w:spacing w:after="240"/>
      <w:jc w:val="right"/>
      <w:rPr>
        <w:color w:val="auto"/>
        <w:sz w:val="28"/>
      </w:rPr>
    </w:pPr>
    <w:r>
      <w:rPr>
        <w:bCs/>
        <w:color w:val="auto"/>
        <w:sz w:val="28"/>
      </w:rPr>
      <w:t>Vietnam Wars Checklist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9186F"/>
    <w:multiLevelType w:val="multilevel"/>
    <w:tmpl w:val="15C8FF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E056D1"/>
    <w:multiLevelType w:val="multilevel"/>
    <w:tmpl w:val="AE080206"/>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2" w15:restartNumberingAfterBreak="0">
    <w:nsid w:val="16335CEF"/>
    <w:multiLevelType w:val="hybridMultilevel"/>
    <w:tmpl w:val="2C82E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B95F1B"/>
    <w:multiLevelType w:val="multilevel"/>
    <w:tmpl w:val="2AECEECA"/>
    <w:lvl w:ilvl="0">
      <w:start w:val="1"/>
      <w:numFmt w:val="bullet"/>
      <w:lvlText w:val=""/>
      <w:lvlJc w:val="left"/>
      <w:pPr>
        <w:ind w:left="720" w:hanging="360"/>
      </w:pPr>
      <w:rPr>
        <w:rFonts w:ascii="Symbol" w:hAnsi="Symbol" w:hint="default"/>
        <w:color w:val="000000"/>
        <w:sz w:val="20"/>
        <w:szCs w:val="20"/>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C2759E5"/>
    <w:multiLevelType w:val="multilevel"/>
    <w:tmpl w:val="D0107C20"/>
    <w:lvl w:ilvl="0">
      <w:start w:val="1"/>
      <w:numFmt w:val="bullet"/>
      <w:lvlText w:val="●"/>
      <w:lvlJc w:val="left"/>
      <w:pPr>
        <w:ind w:left="720" w:hanging="360"/>
      </w:pPr>
      <w:rPr>
        <w:b w:val="0"/>
        <w:sz w:val="20"/>
        <w:szCs w:val="20"/>
        <w:u w:val="none"/>
      </w:rPr>
    </w:lvl>
    <w:lvl w:ilvl="1">
      <w:start w:val="1"/>
      <w:numFmt w:val="bullet"/>
      <w:lvlText w:val="○"/>
      <w:lvlJc w:val="left"/>
      <w:pPr>
        <w:ind w:left="1440" w:hanging="360"/>
      </w:pPr>
      <w:rPr>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D8B67BF"/>
    <w:multiLevelType w:val="hybridMultilevel"/>
    <w:tmpl w:val="AD041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4B4"/>
    <w:rsid w:val="00083132"/>
    <w:rsid w:val="0009769E"/>
    <w:rsid w:val="000A45C2"/>
    <w:rsid w:val="000B5D90"/>
    <w:rsid w:val="001E0886"/>
    <w:rsid w:val="00270BFA"/>
    <w:rsid w:val="00290F78"/>
    <w:rsid w:val="002C33B6"/>
    <w:rsid w:val="00311C52"/>
    <w:rsid w:val="0035458B"/>
    <w:rsid w:val="0059452D"/>
    <w:rsid w:val="005C54B4"/>
    <w:rsid w:val="00667DA1"/>
    <w:rsid w:val="00683310"/>
    <w:rsid w:val="00690202"/>
    <w:rsid w:val="006E2411"/>
    <w:rsid w:val="0072290B"/>
    <w:rsid w:val="00762E8A"/>
    <w:rsid w:val="00762FE4"/>
    <w:rsid w:val="00776C0B"/>
    <w:rsid w:val="0078237D"/>
    <w:rsid w:val="00787162"/>
    <w:rsid w:val="00843822"/>
    <w:rsid w:val="00861F79"/>
    <w:rsid w:val="00913BC3"/>
    <w:rsid w:val="00915190"/>
    <w:rsid w:val="00A12EA1"/>
    <w:rsid w:val="00A50D29"/>
    <w:rsid w:val="00AB5045"/>
    <w:rsid w:val="00B01D1E"/>
    <w:rsid w:val="00B53984"/>
    <w:rsid w:val="00B55A21"/>
    <w:rsid w:val="00B76C1C"/>
    <w:rsid w:val="00B91D3D"/>
    <w:rsid w:val="00BA3DCE"/>
    <w:rsid w:val="00BF7E37"/>
    <w:rsid w:val="00C0042B"/>
    <w:rsid w:val="00C76135"/>
    <w:rsid w:val="00CA1637"/>
    <w:rsid w:val="00CE473E"/>
    <w:rsid w:val="00D21FB0"/>
    <w:rsid w:val="00D91B68"/>
    <w:rsid w:val="00D97C75"/>
    <w:rsid w:val="00E13A52"/>
    <w:rsid w:val="00E61F4F"/>
    <w:rsid w:val="00E73C7C"/>
    <w:rsid w:val="00F011C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4FDF5C8"/>
  <w15:docId w15:val="{E1E90DBB-52C6-4057-BF68-50AD35C55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rebuchet MS" w:eastAsia="Trebuchet MS" w:hAnsi="Trebuchet MS"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C54B4"/>
    <w:pPr>
      <w:pBdr>
        <w:top w:val="nil"/>
        <w:left w:val="nil"/>
        <w:bottom w:val="nil"/>
        <w:right w:val="nil"/>
        <w:between w:val="nil"/>
      </w:pBdr>
      <w:spacing w:line="276" w:lineRule="auto"/>
    </w:pPr>
    <w:rPr>
      <w:rFonts w:ascii="Arial" w:eastAsia="Arial" w:hAnsi="Arial" w:cs="Arial"/>
      <w:color w:val="000000"/>
      <w:sz w:val="22"/>
      <w:szCs w:val="22"/>
    </w:rPr>
  </w:style>
  <w:style w:type="paragraph" w:styleId="Heading1">
    <w:name w:val="heading 1"/>
    <w:basedOn w:val="Normal"/>
    <w:next w:val="Normal"/>
    <w:link w:val="Heading1Char"/>
    <w:uiPriority w:val="9"/>
    <w:qFormat/>
    <w:rsid w:val="00787162"/>
    <w:pPr>
      <w:keepNext/>
      <w:spacing w:after="240"/>
      <w:outlineLvl w:val="0"/>
    </w:pPr>
    <w:rPr>
      <w:rFonts w:eastAsia="Times New Roman"/>
      <w:bCs/>
      <w:kern w:val="32"/>
      <w:sz w:val="28"/>
      <w:szCs w:val="32"/>
    </w:rPr>
  </w:style>
  <w:style w:type="paragraph" w:styleId="Heading3">
    <w:name w:val="heading 3"/>
    <w:basedOn w:val="Normal"/>
    <w:next w:val="Normal"/>
    <w:link w:val="Heading3Char"/>
    <w:rsid w:val="005C54B4"/>
    <w:pPr>
      <w:keepNext/>
      <w:keepLines/>
      <w:spacing w:before="320" w:after="80"/>
      <w:outlineLvl w:val="2"/>
    </w:pPr>
    <w:rPr>
      <w:color w:val="434343"/>
      <w:sz w:val="28"/>
      <w:szCs w:val="28"/>
    </w:rPr>
  </w:style>
  <w:style w:type="paragraph" w:styleId="Heading4">
    <w:name w:val="heading 4"/>
    <w:basedOn w:val="Normal"/>
    <w:next w:val="Normal"/>
    <w:link w:val="Heading4Char"/>
    <w:rsid w:val="005C54B4"/>
    <w:pPr>
      <w:keepNext/>
      <w:keepLines/>
      <w:spacing w:before="280" w:after="80"/>
      <w:outlineLvl w:val="3"/>
    </w:pPr>
    <w:rPr>
      <w:color w:val="6666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achitnormal">
    <w:name w:val="Teachit normal"/>
    <w:basedOn w:val="Normal"/>
    <w:link w:val="TeachitnormalChar"/>
    <w:qFormat/>
    <w:rsid w:val="00B55A21"/>
    <w:rPr>
      <w:sz w:val="24"/>
      <w:szCs w:val="36"/>
    </w:rPr>
  </w:style>
  <w:style w:type="character" w:customStyle="1" w:styleId="TeachitnormalChar">
    <w:name w:val="Teachit normal Char"/>
    <w:link w:val="Teachitnormal"/>
    <w:rsid w:val="00B55A21"/>
    <w:rPr>
      <w:rFonts w:ascii="Trebuchet MS" w:hAnsi="Trebuchet MS"/>
      <w:sz w:val="24"/>
      <w:szCs w:val="36"/>
    </w:rPr>
  </w:style>
  <w:style w:type="paragraph" w:styleId="Header">
    <w:name w:val="header"/>
    <w:basedOn w:val="Normal"/>
    <w:link w:val="HeaderChar"/>
    <w:uiPriority w:val="99"/>
    <w:unhideWhenUsed/>
    <w:rsid w:val="00B55A21"/>
    <w:pPr>
      <w:tabs>
        <w:tab w:val="center" w:pos="4513"/>
        <w:tab w:val="right" w:pos="9026"/>
      </w:tabs>
    </w:pPr>
  </w:style>
  <w:style w:type="character" w:customStyle="1" w:styleId="HeaderChar">
    <w:name w:val="Header Char"/>
    <w:basedOn w:val="DefaultParagraphFont"/>
    <w:link w:val="Header"/>
    <w:uiPriority w:val="99"/>
    <w:rsid w:val="00B55A21"/>
  </w:style>
  <w:style w:type="paragraph" w:styleId="Footer">
    <w:name w:val="footer"/>
    <w:basedOn w:val="Normal"/>
    <w:link w:val="FooterChar"/>
    <w:uiPriority w:val="99"/>
    <w:unhideWhenUsed/>
    <w:rsid w:val="00B55A21"/>
    <w:pPr>
      <w:tabs>
        <w:tab w:val="center" w:pos="4513"/>
        <w:tab w:val="right" w:pos="9026"/>
      </w:tabs>
    </w:pPr>
  </w:style>
  <w:style w:type="character" w:customStyle="1" w:styleId="FooterChar">
    <w:name w:val="Footer Char"/>
    <w:basedOn w:val="DefaultParagraphFont"/>
    <w:link w:val="Footer"/>
    <w:uiPriority w:val="99"/>
    <w:rsid w:val="00B55A21"/>
  </w:style>
  <w:style w:type="character" w:styleId="Hyperlink">
    <w:name w:val="Hyperlink"/>
    <w:uiPriority w:val="99"/>
    <w:unhideWhenUsed/>
    <w:rsid w:val="00B55A21"/>
    <w:rPr>
      <w:color w:val="0095D9"/>
      <w:u w:val="single"/>
    </w:rPr>
  </w:style>
  <w:style w:type="character" w:customStyle="1" w:styleId="Heading1Char">
    <w:name w:val="Heading 1 Char"/>
    <w:link w:val="Heading1"/>
    <w:uiPriority w:val="9"/>
    <w:rsid w:val="00787162"/>
    <w:rPr>
      <w:rFonts w:eastAsia="Times New Roman" w:cs="Times New Roman"/>
      <w:bCs/>
      <w:color w:val="000000"/>
      <w:kern w:val="32"/>
      <w:sz w:val="28"/>
      <w:szCs w:val="32"/>
      <w:lang w:eastAsia="en-US"/>
    </w:rPr>
  </w:style>
  <w:style w:type="table" w:styleId="TableGrid">
    <w:name w:val="Table Grid"/>
    <w:basedOn w:val="TableNormal"/>
    <w:uiPriority w:val="39"/>
    <w:rsid w:val="003545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5458B"/>
    <w:pPr>
      <w:spacing w:before="100" w:beforeAutospacing="1" w:after="100" w:afterAutospacing="1" w:line="240" w:lineRule="auto"/>
    </w:pPr>
    <w:rPr>
      <w:rFonts w:ascii="Times New Roman" w:eastAsia="Times New Roman" w:hAnsi="Times New Roman"/>
      <w:color w:val="auto"/>
      <w:sz w:val="24"/>
      <w:szCs w:val="24"/>
    </w:rPr>
  </w:style>
  <w:style w:type="paragraph" w:customStyle="1" w:styleId="TableContents">
    <w:name w:val="Table Contents"/>
    <w:basedOn w:val="Normal"/>
    <w:rsid w:val="00D97C75"/>
    <w:pPr>
      <w:suppressLineNumbers/>
      <w:suppressAutoHyphens/>
      <w:spacing w:after="200"/>
    </w:pPr>
    <w:rPr>
      <w:rFonts w:ascii="Calibri" w:eastAsia="Calibri" w:hAnsi="Calibri" w:cs="Calibri"/>
      <w:color w:val="auto"/>
      <w:lang w:eastAsia="ar-SA"/>
    </w:rPr>
  </w:style>
  <w:style w:type="paragraph" w:styleId="BalloonText">
    <w:name w:val="Balloon Text"/>
    <w:basedOn w:val="Normal"/>
    <w:link w:val="BalloonTextChar"/>
    <w:uiPriority w:val="99"/>
    <w:semiHidden/>
    <w:unhideWhenUsed/>
    <w:rsid w:val="00D97C7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C75"/>
    <w:rPr>
      <w:rFonts w:ascii="Tahoma" w:hAnsi="Tahoma" w:cs="Tahoma"/>
      <w:color w:val="000000"/>
      <w:sz w:val="16"/>
      <w:szCs w:val="16"/>
      <w:lang w:eastAsia="en-US"/>
    </w:rPr>
  </w:style>
  <w:style w:type="character" w:styleId="CommentReference">
    <w:name w:val="annotation reference"/>
    <w:basedOn w:val="DefaultParagraphFont"/>
    <w:uiPriority w:val="99"/>
    <w:semiHidden/>
    <w:unhideWhenUsed/>
    <w:rsid w:val="00B01D1E"/>
    <w:rPr>
      <w:sz w:val="16"/>
      <w:szCs w:val="16"/>
    </w:rPr>
  </w:style>
  <w:style w:type="paragraph" w:styleId="CommentText">
    <w:name w:val="annotation text"/>
    <w:basedOn w:val="Normal"/>
    <w:link w:val="CommentTextChar"/>
    <w:uiPriority w:val="99"/>
    <w:semiHidden/>
    <w:unhideWhenUsed/>
    <w:rsid w:val="00B01D1E"/>
    <w:pPr>
      <w:spacing w:line="240" w:lineRule="auto"/>
    </w:pPr>
    <w:rPr>
      <w:sz w:val="20"/>
      <w:szCs w:val="20"/>
    </w:rPr>
  </w:style>
  <w:style w:type="character" w:customStyle="1" w:styleId="CommentTextChar">
    <w:name w:val="Comment Text Char"/>
    <w:basedOn w:val="DefaultParagraphFont"/>
    <w:link w:val="CommentText"/>
    <w:uiPriority w:val="99"/>
    <w:semiHidden/>
    <w:rsid w:val="00B01D1E"/>
    <w:rPr>
      <w:color w:val="000000"/>
      <w:lang w:eastAsia="en-US"/>
    </w:rPr>
  </w:style>
  <w:style w:type="paragraph" w:styleId="CommentSubject">
    <w:name w:val="annotation subject"/>
    <w:basedOn w:val="CommentText"/>
    <w:next w:val="CommentText"/>
    <w:link w:val="CommentSubjectChar"/>
    <w:uiPriority w:val="99"/>
    <w:semiHidden/>
    <w:unhideWhenUsed/>
    <w:rsid w:val="00B01D1E"/>
    <w:rPr>
      <w:b/>
      <w:bCs/>
    </w:rPr>
  </w:style>
  <w:style w:type="character" w:customStyle="1" w:styleId="CommentSubjectChar">
    <w:name w:val="Comment Subject Char"/>
    <w:basedOn w:val="CommentTextChar"/>
    <w:link w:val="CommentSubject"/>
    <w:uiPriority w:val="99"/>
    <w:semiHidden/>
    <w:rsid w:val="00B01D1E"/>
    <w:rPr>
      <w:b/>
      <w:bCs/>
      <w:color w:val="000000"/>
      <w:lang w:eastAsia="en-US"/>
    </w:rPr>
  </w:style>
  <w:style w:type="character" w:customStyle="1" w:styleId="Heading3Char">
    <w:name w:val="Heading 3 Char"/>
    <w:basedOn w:val="DefaultParagraphFont"/>
    <w:link w:val="Heading3"/>
    <w:rsid w:val="005C54B4"/>
    <w:rPr>
      <w:rFonts w:ascii="Arial" w:eastAsia="Arial" w:hAnsi="Arial" w:cs="Arial"/>
      <w:color w:val="434343"/>
      <w:sz w:val="28"/>
      <w:szCs w:val="28"/>
    </w:rPr>
  </w:style>
  <w:style w:type="character" w:customStyle="1" w:styleId="Heading4Char">
    <w:name w:val="Heading 4 Char"/>
    <w:basedOn w:val="DefaultParagraphFont"/>
    <w:link w:val="Heading4"/>
    <w:rsid w:val="005C54B4"/>
    <w:rPr>
      <w:rFonts w:ascii="Arial" w:eastAsia="Arial" w:hAnsi="Arial" w:cs="Arial"/>
      <w:color w:val="666666"/>
      <w:sz w:val="24"/>
      <w:szCs w:val="24"/>
    </w:rPr>
  </w:style>
  <w:style w:type="paragraph" w:styleId="ListParagraph">
    <w:name w:val="List Paragraph"/>
    <w:basedOn w:val="Normal"/>
    <w:uiPriority w:val="34"/>
    <w:qFormat/>
    <w:rsid w:val="005C5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671437">
      <w:bodyDiv w:val="1"/>
      <w:marLeft w:val="0"/>
      <w:marRight w:val="0"/>
      <w:marTop w:val="0"/>
      <w:marBottom w:val="0"/>
      <w:divBdr>
        <w:top w:val="none" w:sz="0" w:space="0" w:color="auto"/>
        <w:left w:val="none" w:sz="0" w:space="0" w:color="auto"/>
        <w:bottom w:val="none" w:sz="0" w:space="0" w:color="auto"/>
        <w:right w:val="none" w:sz="0" w:space="0" w:color="auto"/>
      </w:divBdr>
    </w:div>
    <w:div w:id="925192576">
      <w:bodyDiv w:val="1"/>
      <w:marLeft w:val="0"/>
      <w:marRight w:val="0"/>
      <w:marTop w:val="0"/>
      <w:marBottom w:val="0"/>
      <w:divBdr>
        <w:top w:val="none" w:sz="0" w:space="0" w:color="auto"/>
        <w:left w:val="none" w:sz="0" w:space="0" w:color="auto"/>
        <w:bottom w:val="none" w:sz="0" w:space="0" w:color="auto"/>
        <w:right w:val="none" w:sz="0" w:space="0" w:color="auto"/>
      </w:divBdr>
    </w:div>
    <w:div w:id="956571495">
      <w:bodyDiv w:val="1"/>
      <w:marLeft w:val="0"/>
      <w:marRight w:val="0"/>
      <w:marTop w:val="0"/>
      <w:marBottom w:val="0"/>
      <w:divBdr>
        <w:top w:val="none" w:sz="0" w:space="0" w:color="auto"/>
        <w:left w:val="none" w:sz="0" w:space="0" w:color="auto"/>
        <w:bottom w:val="none" w:sz="0" w:space="0" w:color="auto"/>
        <w:right w:val="none" w:sz="0" w:space="0" w:color="auto"/>
      </w:divBdr>
    </w:div>
    <w:div w:id="964241571">
      <w:bodyDiv w:val="1"/>
      <w:marLeft w:val="0"/>
      <w:marRight w:val="0"/>
      <w:marTop w:val="0"/>
      <w:marBottom w:val="0"/>
      <w:divBdr>
        <w:top w:val="none" w:sz="0" w:space="0" w:color="auto"/>
        <w:left w:val="none" w:sz="0" w:space="0" w:color="auto"/>
        <w:bottom w:val="none" w:sz="0" w:space="0" w:color="auto"/>
        <w:right w:val="none" w:sz="0" w:space="0" w:color="auto"/>
      </w:divBdr>
    </w:div>
    <w:div w:id="1280605736">
      <w:bodyDiv w:val="1"/>
      <w:marLeft w:val="0"/>
      <w:marRight w:val="0"/>
      <w:marTop w:val="0"/>
      <w:marBottom w:val="0"/>
      <w:divBdr>
        <w:top w:val="none" w:sz="0" w:space="0" w:color="auto"/>
        <w:left w:val="none" w:sz="0" w:space="0" w:color="auto"/>
        <w:bottom w:val="none" w:sz="0" w:space="0" w:color="auto"/>
        <w:right w:val="none" w:sz="0" w:space="0" w:color="auto"/>
      </w:divBdr>
    </w:div>
    <w:div w:id="1287664284">
      <w:bodyDiv w:val="1"/>
      <w:marLeft w:val="0"/>
      <w:marRight w:val="0"/>
      <w:marTop w:val="0"/>
      <w:marBottom w:val="0"/>
      <w:divBdr>
        <w:top w:val="none" w:sz="0" w:space="0" w:color="auto"/>
        <w:left w:val="none" w:sz="0" w:space="0" w:color="auto"/>
        <w:bottom w:val="none" w:sz="0" w:space="0" w:color="auto"/>
        <w:right w:val="none" w:sz="0" w:space="0" w:color="auto"/>
      </w:divBdr>
    </w:div>
    <w:div w:id="1403020360">
      <w:bodyDiv w:val="1"/>
      <w:marLeft w:val="0"/>
      <w:marRight w:val="0"/>
      <w:marTop w:val="0"/>
      <w:marBottom w:val="0"/>
      <w:divBdr>
        <w:top w:val="none" w:sz="0" w:space="0" w:color="auto"/>
        <w:left w:val="none" w:sz="0" w:space="0" w:color="auto"/>
        <w:bottom w:val="none" w:sz="0" w:space="0" w:color="auto"/>
        <w:right w:val="none" w:sz="0" w:space="0" w:color="auto"/>
      </w:divBdr>
    </w:div>
    <w:div w:id="1519468333">
      <w:bodyDiv w:val="1"/>
      <w:marLeft w:val="0"/>
      <w:marRight w:val="0"/>
      <w:marTop w:val="0"/>
      <w:marBottom w:val="0"/>
      <w:divBdr>
        <w:top w:val="none" w:sz="0" w:space="0" w:color="auto"/>
        <w:left w:val="none" w:sz="0" w:space="0" w:color="auto"/>
        <w:bottom w:val="none" w:sz="0" w:space="0" w:color="auto"/>
        <w:right w:val="none" w:sz="0" w:space="0" w:color="auto"/>
      </w:divBdr>
    </w:div>
    <w:div w:id="1659848533">
      <w:bodyDiv w:val="1"/>
      <w:marLeft w:val="0"/>
      <w:marRight w:val="0"/>
      <w:marTop w:val="0"/>
      <w:marBottom w:val="0"/>
      <w:divBdr>
        <w:top w:val="none" w:sz="0" w:space="0" w:color="auto"/>
        <w:left w:val="none" w:sz="0" w:space="0" w:color="auto"/>
        <w:bottom w:val="none" w:sz="0" w:space="0" w:color="auto"/>
        <w:right w:val="none" w:sz="0" w:space="0" w:color="auto"/>
      </w:divBdr>
    </w:div>
    <w:div w:id="1854801011">
      <w:bodyDiv w:val="1"/>
      <w:marLeft w:val="0"/>
      <w:marRight w:val="0"/>
      <w:marTop w:val="0"/>
      <w:marBottom w:val="0"/>
      <w:divBdr>
        <w:top w:val="none" w:sz="0" w:space="0" w:color="auto"/>
        <w:left w:val="none" w:sz="0" w:space="0" w:color="auto"/>
        <w:bottom w:val="none" w:sz="0" w:space="0" w:color="auto"/>
        <w:right w:val="none" w:sz="0" w:space="0" w:color="auto"/>
      </w:divBdr>
    </w:div>
    <w:div w:id="1942253088">
      <w:bodyDiv w:val="1"/>
      <w:marLeft w:val="0"/>
      <w:marRight w:val="0"/>
      <w:marTop w:val="0"/>
      <w:marBottom w:val="0"/>
      <w:divBdr>
        <w:top w:val="none" w:sz="0" w:space="0" w:color="auto"/>
        <w:left w:val="none" w:sz="0" w:space="0" w:color="auto"/>
        <w:bottom w:val="none" w:sz="0" w:space="0" w:color="auto"/>
        <w:right w:val="none" w:sz="0" w:space="0" w:color="auto"/>
      </w:divBdr>
    </w:div>
    <w:div w:id="1958098518">
      <w:bodyDiv w:val="1"/>
      <w:marLeft w:val="0"/>
      <w:marRight w:val="0"/>
      <w:marTop w:val="0"/>
      <w:marBottom w:val="0"/>
      <w:divBdr>
        <w:top w:val="none" w:sz="0" w:space="0" w:color="auto"/>
        <w:left w:val="none" w:sz="0" w:space="0" w:color="auto"/>
        <w:bottom w:val="none" w:sz="0" w:space="0" w:color="auto"/>
        <w:right w:val="none" w:sz="0" w:space="0" w:color="auto"/>
      </w:divBdr>
    </w:div>
    <w:div w:id="211099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AQA</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Teachit, part of the AQA family</dc:creator>
  <cp:lastModifiedBy>Scott Matthews</cp:lastModifiedBy>
  <cp:revision>3</cp:revision>
  <cp:lastPrinted>2019-05-03T09:09:00Z</cp:lastPrinted>
  <dcterms:created xsi:type="dcterms:W3CDTF">2019-05-03T09:07:00Z</dcterms:created>
  <dcterms:modified xsi:type="dcterms:W3CDTF">2019-05-03T09:10:00Z</dcterms:modified>
</cp:coreProperties>
</file>